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8A" w:rsidRDefault="007F4C8A" w:rsidP="00EA1CCC">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rsidR="007F4C8A" w:rsidRDefault="007F4C8A" w:rsidP="00EA1CCC">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rsidR="00EA1CCC" w:rsidRPr="00EA1CCC" w:rsidRDefault="00EA1CCC" w:rsidP="00EA1CCC">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EA1CCC">
        <w:rPr>
          <w:rFonts w:ascii="Times New Roman" w:hAnsi="Times New Roman"/>
          <w:b/>
          <w:sz w:val="28"/>
          <w:szCs w:val="28"/>
          <w:lang w:eastAsia="bg-BG"/>
        </w:rPr>
        <w:t>СТАНОВИЩЕ</w:t>
      </w:r>
    </w:p>
    <w:p w:rsidR="00EA1CCC" w:rsidRPr="00EA1CCC" w:rsidRDefault="00EA1CCC" w:rsidP="00EA1CCC">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EA1CCC">
        <w:rPr>
          <w:rFonts w:ascii="Times New Roman" w:hAnsi="Times New Roman"/>
          <w:b/>
          <w:bCs/>
          <w:sz w:val="28"/>
          <w:szCs w:val="28"/>
          <w:lang w:eastAsia="bg-BG"/>
        </w:rPr>
        <w:t>за осъществен контрол</w:t>
      </w:r>
    </w:p>
    <w:p w:rsidR="00EA1CCC" w:rsidRPr="00EA1CCC" w:rsidRDefault="00EA1CCC" w:rsidP="00EA1CCC">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EA1CCC">
        <w:rPr>
          <w:rFonts w:ascii="Times New Roman" w:hAnsi="Times New Roman"/>
          <w:bCs/>
          <w:sz w:val="28"/>
          <w:szCs w:val="28"/>
          <w:lang w:eastAsia="bg-BG"/>
        </w:rPr>
        <w:t>по чл. 232 от ЗОП</w:t>
      </w:r>
    </w:p>
    <w:p w:rsidR="00EA1CCC" w:rsidRDefault="00EA1CCC" w:rsidP="00EA1CCC">
      <w:pPr>
        <w:tabs>
          <w:tab w:val="right" w:pos="9360"/>
        </w:tabs>
        <w:autoSpaceDE w:val="0"/>
        <w:autoSpaceDN w:val="0"/>
        <w:adjustRightInd w:val="0"/>
        <w:spacing w:after="0" w:line="240" w:lineRule="auto"/>
        <w:ind w:firstLine="0"/>
        <w:jc w:val="center"/>
        <w:rPr>
          <w:rFonts w:ascii="Times New Roman" w:hAnsi="Times New Roman"/>
          <w:bCs/>
          <w:sz w:val="28"/>
          <w:szCs w:val="28"/>
          <w:lang w:val="en-US" w:eastAsia="bg-BG"/>
        </w:rPr>
      </w:pPr>
    </w:p>
    <w:p w:rsidR="00EA1CCC" w:rsidRPr="00EA1CCC" w:rsidRDefault="00EA1CCC" w:rsidP="00EA1CCC">
      <w:pPr>
        <w:spacing w:after="0" w:line="240" w:lineRule="auto"/>
        <w:ind w:left="709" w:right="-272" w:hanging="709"/>
        <w:jc w:val="center"/>
        <w:rPr>
          <w:rFonts w:ascii="Times New Roman" w:hAnsi="Times New Roman"/>
          <w:szCs w:val="24"/>
          <w:lang w:eastAsia="bg-BG"/>
        </w:rPr>
      </w:pPr>
      <w:r w:rsidRPr="00EA1CCC">
        <w:rPr>
          <w:rFonts w:ascii="Times New Roman" w:hAnsi="Times New Roman"/>
          <w:szCs w:val="24"/>
          <w:lang w:eastAsia="bg-BG"/>
        </w:rPr>
        <w:t>за съответствие с изискванията на ЗОП на проектите на документи</w:t>
      </w:r>
    </w:p>
    <w:p w:rsidR="00EA1CCC" w:rsidRPr="00EA1CCC" w:rsidRDefault="00EA1CCC" w:rsidP="00EA1CCC">
      <w:pPr>
        <w:spacing w:after="0" w:line="240" w:lineRule="auto"/>
        <w:ind w:left="709" w:right="-272" w:hanging="709"/>
        <w:jc w:val="center"/>
        <w:rPr>
          <w:rFonts w:ascii="Times New Roman" w:hAnsi="Times New Roman"/>
          <w:szCs w:val="24"/>
          <w:lang w:eastAsia="bg-BG"/>
        </w:rPr>
      </w:pPr>
      <w:r w:rsidRPr="00EA1CCC">
        <w:rPr>
          <w:rFonts w:ascii="Times New Roman" w:hAnsi="Times New Roman"/>
          <w:szCs w:val="24"/>
          <w:lang w:eastAsia="bg-BG"/>
        </w:rPr>
        <w:t>по чл. 232, ал. 3, т. 1 и ал. 5 ЗОП (І етап)</w:t>
      </w:r>
    </w:p>
    <w:p w:rsidR="00EA1CCC" w:rsidRDefault="00EA1CCC" w:rsidP="00EA1CCC">
      <w:pPr>
        <w:spacing w:after="0" w:line="240" w:lineRule="auto"/>
        <w:ind w:left="709" w:right="-272" w:hanging="709"/>
        <w:jc w:val="center"/>
        <w:rPr>
          <w:rFonts w:ascii="Times New Roman" w:hAnsi="Times New Roman"/>
          <w:b/>
          <w:szCs w:val="24"/>
          <w:lang w:eastAsia="bg-BG"/>
        </w:rPr>
      </w:pPr>
    </w:p>
    <w:p w:rsidR="00ED1A43" w:rsidRDefault="00ED1A43" w:rsidP="00EA1CCC">
      <w:pPr>
        <w:spacing w:after="0" w:line="240" w:lineRule="auto"/>
        <w:ind w:left="709" w:right="-272" w:hanging="709"/>
        <w:jc w:val="center"/>
        <w:rPr>
          <w:rFonts w:ascii="Times New Roman" w:hAnsi="Times New Roman"/>
          <w:b/>
          <w:szCs w:val="24"/>
          <w:lang w:eastAsia="bg-BG"/>
        </w:rPr>
      </w:pPr>
    </w:p>
    <w:p w:rsidR="007F4C8A" w:rsidRPr="00EA1CCC" w:rsidRDefault="007F4C8A" w:rsidP="00EA1CCC">
      <w:pPr>
        <w:spacing w:after="0" w:line="240" w:lineRule="auto"/>
        <w:ind w:left="709" w:right="-272" w:hanging="709"/>
        <w:jc w:val="center"/>
        <w:rPr>
          <w:rFonts w:ascii="Times New Roman" w:hAnsi="Times New Roman"/>
          <w:b/>
          <w:szCs w:val="24"/>
          <w:lang w:eastAsia="bg-BG"/>
        </w:rPr>
      </w:pP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w:t>
      </w: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Процедура</w:t>
      </w:r>
    </w:p>
    <w:p w:rsidR="00EA1CCC" w:rsidRPr="00EA1CCC" w:rsidRDefault="00EA1CCC" w:rsidP="00EA1CCC">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16"/>
        <w:gridCol w:w="5798"/>
      </w:tblGrid>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ИН на регистрационната форма от ССИ</w:t>
            </w:r>
          </w:p>
        </w:tc>
        <w:tc>
          <w:tcPr>
            <w:tcW w:w="5798" w:type="dxa"/>
            <w:vAlign w:val="center"/>
          </w:tcPr>
          <w:p w:rsidR="00EA1CCC" w:rsidRPr="00EA1CCC" w:rsidRDefault="0041583C" w:rsidP="0041583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20170222-00108-0047</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Възложител:</w:t>
            </w:r>
          </w:p>
        </w:tc>
        <w:tc>
          <w:tcPr>
            <w:tcW w:w="5798" w:type="dxa"/>
            <w:vAlign w:val="center"/>
          </w:tcPr>
          <w:p w:rsidR="00EA1CCC" w:rsidRPr="00EA1CCC" w:rsidRDefault="007C6EE8" w:rsidP="00EA1CCC">
            <w:pPr>
              <w:tabs>
                <w:tab w:val="left" w:pos="583"/>
                <w:tab w:val="right" w:pos="9360"/>
              </w:tabs>
              <w:spacing w:before="60" w:after="60" w:line="240" w:lineRule="auto"/>
              <w:ind w:firstLine="0"/>
              <w:rPr>
                <w:rFonts w:ascii="Times New Roman" w:hAnsi="Times New Roman"/>
                <w:b/>
                <w:szCs w:val="24"/>
                <w:lang w:eastAsia="bg-BG"/>
              </w:rPr>
            </w:pPr>
            <w:r>
              <w:rPr>
                <w:rFonts w:ascii="Times New Roman" w:hAnsi="Times New Roman"/>
                <w:b/>
                <w:szCs w:val="24"/>
                <w:lang w:eastAsia="bg-BG"/>
              </w:rPr>
              <w:t>Кмет на Община Суворово</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Вид на възложителя:</w:t>
            </w:r>
          </w:p>
        </w:tc>
        <w:tc>
          <w:tcPr>
            <w:tcW w:w="5798" w:type="dxa"/>
            <w:vAlign w:val="center"/>
          </w:tcPr>
          <w:p w:rsidR="00EA1CCC" w:rsidRPr="00EA1CCC" w:rsidRDefault="00897497" w:rsidP="00EA1CCC">
            <w:pPr>
              <w:tabs>
                <w:tab w:val="left" w:pos="583"/>
                <w:tab w:val="right" w:pos="9360"/>
              </w:tabs>
              <w:spacing w:before="60" w:after="60" w:line="240" w:lineRule="auto"/>
              <w:ind w:left="43" w:firstLine="0"/>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публичен (чл. 5, ал. 2, т. 1-17 и ал. 3 ЗОП)</w:t>
            </w:r>
          </w:p>
          <w:p w:rsidR="00EA1CCC" w:rsidRPr="00EA1CCC" w:rsidRDefault="00EA1CCC" w:rsidP="00EA1CCC">
            <w:pPr>
              <w:tabs>
                <w:tab w:val="left" w:pos="583"/>
                <w:tab w:val="right" w:pos="9360"/>
              </w:tabs>
              <w:spacing w:before="60" w:after="60" w:line="240" w:lineRule="auto"/>
              <w:ind w:left="43" w:firstLine="0"/>
              <w:rPr>
                <w:rFonts w:ascii="Times New Roman" w:hAnsi="Times New Roman"/>
                <w:b/>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 xml:space="preserve">секторен (чл. 5, ал. 4,т. 1-3 ЗОП) </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Вид на процедурата</w:t>
            </w:r>
          </w:p>
        </w:tc>
        <w:tc>
          <w:tcPr>
            <w:tcW w:w="5798" w:type="dxa"/>
            <w:vAlign w:val="center"/>
          </w:tcPr>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Открита</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 xml:space="preserve">Ограничена </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Състезателна процедура с договаряне</w:t>
            </w:r>
          </w:p>
          <w:p w:rsidR="00EA1CCC" w:rsidRPr="00EA1CCC" w:rsidRDefault="00EA1CCC" w:rsidP="00EA1CCC">
            <w:pPr>
              <w:tabs>
                <w:tab w:val="left" w:pos="583"/>
                <w:tab w:val="right" w:pos="9360"/>
              </w:tabs>
              <w:spacing w:before="60" w:after="60" w:line="240" w:lineRule="auto"/>
              <w:ind w:left="45"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Договаряне с предварителна покана за участие</w:t>
            </w:r>
          </w:p>
          <w:p w:rsidR="00EA1CCC" w:rsidRPr="00EA1CCC" w:rsidRDefault="00EA1CCC" w:rsidP="00EA1CCC">
            <w:pPr>
              <w:tabs>
                <w:tab w:val="left" w:pos="583"/>
                <w:tab w:val="right" w:pos="9360"/>
              </w:tabs>
              <w:spacing w:before="60" w:after="60" w:line="240" w:lineRule="auto"/>
              <w:ind w:left="45"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Състезателен диалог</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Партньорство за иновации</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Договаряне без предварително обявление</w:t>
            </w:r>
          </w:p>
          <w:p w:rsidR="00EA1CCC" w:rsidRPr="00EA1CCC" w:rsidRDefault="00EA1CCC" w:rsidP="00EA1CCC">
            <w:pPr>
              <w:tabs>
                <w:tab w:val="left" w:pos="583"/>
                <w:tab w:val="right" w:pos="9360"/>
              </w:tabs>
              <w:spacing w:before="60" w:after="60" w:line="240" w:lineRule="auto"/>
              <w:ind w:left="625" w:hanging="567"/>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Договаряне без предварителна покана за участие</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Конкурс за проект</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1"/>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Публично състезание</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val="ru-RU"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Пряко договаряне</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Обект на поръчката:</w:t>
            </w:r>
          </w:p>
        </w:tc>
        <w:tc>
          <w:tcPr>
            <w:tcW w:w="5798" w:type="dxa"/>
            <w:vAlign w:val="center"/>
          </w:tcPr>
          <w:p w:rsidR="00EA1CCC" w:rsidRPr="00EA1CCC" w:rsidRDefault="007C6EE8" w:rsidP="00EA1CCC">
            <w:pPr>
              <w:tabs>
                <w:tab w:val="left" w:pos="583"/>
                <w:tab w:val="right" w:pos="9360"/>
              </w:tabs>
              <w:spacing w:before="60" w:after="60" w:line="240" w:lineRule="auto"/>
              <w:ind w:left="43" w:firstLine="0"/>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Строителство</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5"/>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Доставки</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6"/>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Услуги</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6"/>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Услуги по Приложение № 2</w:t>
            </w:r>
          </w:p>
        </w:tc>
      </w:tr>
      <w:tr w:rsidR="00975D18" w:rsidRPr="00EA1CCC" w:rsidTr="00F34A88">
        <w:trPr>
          <w:trHeight w:val="20"/>
        </w:trPr>
        <w:tc>
          <w:tcPr>
            <w:tcW w:w="3416" w:type="dxa"/>
            <w:vAlign w:val="center"/>
          </w:tcPr>
          <w:p w:rsidR="00975D18" w:rsidRPr="00EA1CCC" w:rsidRDefault="00975D18"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Предмет на поръчката</w:t>
            </w:r>
            <w:r w:rsidRPr="00EA1CCC">
              <w:rPr>
                <w:rFonts w:ascii="Times New Roman" w:hAnsi="Times New Roman"/>
                <w:szCs w:val="24"/>
                <w:lang w:val="en-US" w:eastAsia="bg-BG"/>
              </w:rPr>
              <w:t>:</w:t>
            </w:r>
          </w:p>
        </w:tc>
        <w:tc>
          <w:tcPr>
            <w:tcW w:w="5798" w:type="dxa"/>
            <w:vAlign w:val="center"/>
          </w:tcPr>
          <w:p w:rsidR="00975D18" w:rsidRPr="00EA1CCC" w:rsidRDefault="00975D18" w:rsidP="00970E49">
            <w:pPr>
              <w:tabs>
                <w:tab w:val="left" w:pos="5983"/>
                <w:tab w:val="left" w:pos="712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 xml:space="preserve">„Инженеринг – проектиране, </w:t>
            </w:r>
            <w:r w:rsidRPr="007C6EE8">
              <w:rPr>
                <w:rFonts w:ascii="Times New Roman" w:hAnsi="Times New Roman"/>
                <w:szCs w:val="24"/>
                <w:lang w:eastAsia="bg-BG"/>
              </w:rPr>
              <w:t>изпълнение на СМР и авторски надзор по проект „Реконструкция и оборудване на Професионална гимназия по селско стопанство „Свети Георги Победоносец“ – гр. Суворово“</w:t>
            </w:r>
          </w:p>
        </w:tc>
      </w:tr>
      <w:tr w:rsidR="00EA1CCC" w:rsidRPr="00EA1CCC" w:rsidTr="00F34A88">
        <w:trPr>
          <w:trHeight w:val="20"/>
        </w:trPr>
        <w:tc>
          <w:tcPr>
            <w:tcW w:w="3416" w:type="dxa"/>
            <w:tcBorders>
              <w:top w:val="single" w:sz="2" w:space="0" w:color="auto"/>
              <w:left w:val="single" w:sz="12" w:space="0" w:color="auto"/>
              <w:bottom w:val="single" w:sz="2" w:space="0" w:color="auto"/>
              <w:right w:val="single" w:sz="2" w:space="0" w:color="auto"/>
            </w:tcBorders>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lastRenderedPageBreak/>
              <w:t>Обособени позиции:</w:t>
            </w:r>
          </w:p>
        </w:tc>
        <w:tc>
          <w:tcPr>
            <w:tcW w:w="5798" w:type="dxa"/>
            <w:tcBorders>
              <w:top w:val="single" w:sz="2" w:space="0" w:color="auto"/>
              <w:left w:val="single" w:sz="2" w:space="0" w:color="auto"/>
              <w:bottom w:val="single" w:sz="2" w:space="0" w:color="auto"/>
              <w:right w:val="single" w:sz="12" w:space="0" w:color="auto"/>
            </w:tcBorders>
            <w:vAlign w:val="center"/>
          </w:tcPr>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val="en-US"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 xml:space="preserve">Да        </w:t>
            </w:r>
            <w:r w:rsidRPr="00EA1CCC">
              <w:rPr>
                <w:rFonts w:ascii="Times New Roman" w:hAnsi="Times New Roman"/>
                <w:szCs w:val="24"/>
                <w:lang w:val="en-US" w:eastAsia="bg-BG"/>
              </w:rPr>
              <w:t xml:space="preserve">              </w:t>
            </w:r>
            <w:r w:rsidRPr="00EA1CCC">
              <w:rPr>
                <w:rFonts w:ascii="Times New Roman" w:hAnsi="Times New Roman"/>
                <w:szCs w:val="24"/>
                <w:lang w:eastAsia="bg-BG"/>
              </w:rPr>
              <w:t xml:space="preserve">             Брой: </w:t>
            </w:r>
          </w:p>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Не</w:t>
            </w:r>
          </w:p>
        </w:tc>
      </w:tr>
      <w:tr w:rsidR="00EA1CCC" w:rsidRPr="00EA1CCC" w:rsidTr="00F34A88">
        <w:trPr>
          <w:trHeight w:val="20"/>
        </w:trPr>
        <w:tc>
          <w:tcPr>
            <w:tcW w:w="3416" w:type="dxa"/>
            <w:tcBorders>
              <w:top w:val="single" w:sz="2" w:space="0" w:color="auto"/>
              <w:left w:val="single" w:sz="12" w:space="0" w:color="auto"/>
              <w:bottom w:val="single" w:sz="2" w:space="0" w:color="auto"/>
              <w:right w:val="single" w:sz="2" w:space="0" w:color="auto"/>
            </w:tcBorders>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Срок за изпълнение:</w:t>
            </w:r>
          </w:p>
        </w:tc>
        <w:tc>
          <w:tcPr>
            <w:tcW w:w="5798" w:type="dxa"/>
            <w:tcBorders>
              <w:top w:val="single" w:sz="2" w:space="0" w:color="auto"/>
              <w:left w:val="single" w:sz="2" w:space="0" w:color="auto"/>
              <w:bottom w:val="single" w:sz="2" w:space="0" w:color="auto"/>
              <w:right w:val="single" w:sz="12" w:space="0" w:color="auto"/>
            </w:tcBorders>
            <w:vAlign w:val="center"/>
          </w:tcPr>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15 месеца</w:t>
            </w:r>
          </w:p>
        </w:tc>
      </w:tr>
      <w:tr w:rsidR="00EA1CCC" w:rsidRPr="00EA1CCC" w:rsidTr="00EA1CCC">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Прогнозна стойност на поръчката в лв. без ДДС:</w:t>
            </w:r>
          </w:p>
        </w:tc>
        <w:tc>
          <w:tcPr>
            <w:tcW w:w="5798" w:type="dxa"/>
            <w:shd w:val="clear" w:color="auto" w:fill="FFFFFF"/>
            <w:vAlign w:val="center"/>
          </w:tcPr>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920</w:t>
            </w:r>
            <w:r w:rsidR="00A43DD0">
              <w:rPr>
                <w:rFonts w:ascii="Times New Roman" w:hAnsi="Times New Roman"/>
                <w:szCs w:val="24"/>
                <w:lang w:eastAsia="bg-BG"/>
              </w:rPr>
              <w:t> </w:t>
            </w:r>
            <w:r>
              <w:rPr>
                <w:rFonts w:ascii="Times New Roman" w:hAnsi="Times New Roman"/>
                <w:szCs w:val="24"/>
                <w:lang w:eastAsia="bg-BG"/>
              </w:rPr>
              <w:t>000</w:t>
            </w:r>
            <w:r w:rsidR="00A43DD0">
              <w:rPr>
                <w:rFonts w:ascii="Times New Roman" w:hAnsi="Times New Roman"/>
                <w:szCs w:val="24"/>
                <w:lang w:eastAsia="bg-BG"/>
              </w:rPr>
              <w:t xml:space="preserve"> лв.</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EA1CCC">
              <w:rPr>
                <w:rFonts w:ascii="Times New Roman" w:hAnsi="Times New Roman"/>
                <w:szCs w:val="24"/>
                <w:lang w:eastAsia="bg-BG"/>
              </w:rPr>
              <w:t>Финансиране:</w:t>
            </w:r>
          </w:p>
        </w:tc>
        <w:tc>
          <w:tcPr>
            <w:tcW w:w="5798" w:type="dxa"/>
            <w:vAlign w:val="center"/>
          </w:tcPr>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Изцяло от националния бюджет</w:t>
            </w:r>
          </w:p>
          <w:p w:rsidR="00EA1CCC" w:rsidRPr="00EA1CCC" w:rsidRDefault="00874BAF" w:rsidP="00EA1CCC">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Изцяло или частично със средства от ЕС</w:t>
            </w:r>
          </w:p>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Друго</w:t>
            </w:r>
            <w:r w:rsidRPr="00EA1CCC">
              <w:rPr>
                <w:rFonts w:ascii="Times New Roman" w:hAnsi="Times New Roman"/>
                <w:szCs w:val="24"/>
                <w:lang w:val="en-US" w:eastAsia="bg-BG"/>
              </w:rPr>
              <w:t>:</w:t>
            </w:r>
            <w:r w:rsidRPr="00EA1CCC">
              <w:rPr>
                <w:rFonts w:ascii="Times New Roman" w:hAnsi="Times New Roman"/>
                <w:szCs w:val="24"/>
                <w:lang w:eastAsia="bg-BG"/>
              </w:rPr>
              <w:t xml:space="preserve"> </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Критерий за възлагане на поръчката:</w:t>
            </w:r>
          </w:p>
        </w:tc>
        <w:tc>
          <w:tcPr>
            <w:tcW w:w="5798" w:type="dxa"/>
            <w:vAlign w:val="center"/>
          </w:tcPr>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Най-ниска цена</w:t>
            </w:r>
          </w:p>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Ниво на разходите</w:t>
            </w:r>
          </w:p>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Оптимално съотношение качество/цена</w:t>
            </w:r>
          </w:p>
        </w:tc>
      </w:tr>
      <w:tr w:rsidR="00EA1CCC" w:rsidRPr="00EA1CCC" w:rsidTr="00F34A88">
        <w:trPr>
          <w:trHeight w:val="20"/>
        </w:trPr>
        <w:tc>
          <w:tcPr>
            <w:tcW w:w="9214" w:type="dxa"/>
            <w:gridSpan w:val="2"/>
            <w:vAlign w:val="center"/>
          </w:tcPr>
          <w:p w:rsidR="00EA1CCC" w:rsidRDefault="00EA1CCC" w:rsidP="00AA5BD6">
            <w:pPr>
              <w:spacing w:after="0" w:line="240" w:lineRule="auto"/>
              <w:ind w:firstLine="0"/>
              <w:rPr>
                <w:rFonts w:ascii="Times New Roman" w:hAnsi="Times New Roman"/>
                <w:i/>
                <w:szCs w:val="24"/>
                <w:lang w:eastAsia="bg-BG"/>
              </w:rPr>
            </w:pPr>
            <w:r w:rsidRPr="00EA1CCC">
              <w:rPr>
                <w:rFonts w:ascii="Times New Roman" w:hAnsi="Times New Roman"/>
                <w:i/>
                <w:szCs w:val="24"/>
                <w:lang w:eastAsia="bg-BG"/>
              </w:rPr>
              <w:t>Коментари и други бележки:</w:t>
            </w:r>
          </w:p>
          <w:p w:rsidR="007F4C8A" w:rsidRPr="00AA5BD6" w:rsidRDefault="007F4C8A" w:rsidP="00AA5BD6">
            <w:pPr>
              <w:spacing w:after="0" w:line="240" w:lineRule="auto"/>
              <w:ind w:firstLine="0"/>
              <w:rPr>
                <w:rFonts w:ascii="Times New Roman" w:hAnsi="Times New Roman"/>
                <w:i/>
                <w:szCs w:val="24"/>
                <w:lang w:eastAsia="bg-BG"/>
              </w:rPr>
            </w:pPr>
          </w:p>
        </w:tc>
      </w:tr>
    </w:tbl>
    <w:p w:rsidR="007F4C8A" w:rsidRDefault="007F4C8A" w:rsidP="00EA1CCC">
      <w:pPr>
        <w:spacing w:after="0" w:line="240" w:lineRule="auto"/>
        <w:ind w:firstLine="0"/>
        <w:jc w:val="left"/>
        <w:rPr>
          <w:rFonts w:ascii="Times New Roman" w:hAnsi="Times New Roman"/>
          <w:szCs w:val="24"/>
          <w:highlight w:val="yellow"/>
          <w:lang w:eastAsia="bg-BG"/>
        </w:rPr>
      </w:pPr>
    </w:p>
    <w:p w:rsidR="007F4C8A" w:rsidRDefault="007F4C8A" w:rsidP="00EA1CCC">
      <w:pPr>
        <w:spacing w:after="0" w:line="240" w:lineRule="auto"/>
        <w:ind w:firstLine="0"/>
        <w:jc w:val="left"/>
        <w:rPr>
          <w:rFonts w:ascii="Times New Roman" w:hAnsi="Times New Roman"/>
          <w:szCs w:val="24"/>
          <w:highlight w:val="yellow"/>
          <w:lang w:eastAsia="bg-BG"/>
        </w:rPr>
      </w:pP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w:t>
      </w: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Проверени документи</w:t>
      </w:r>
    </w:p>
    <w:p w:rsidR="00EA1CCC" w:rsidRPr="00EA1CCC" w:rsidRDefault="00EA1CCC" w:rsidP="00EA1CCC">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230"/>
        <w:gridCol w:w="1984"/>
      </w:tblGrid>
      <w:tr w:rsidR="00EA1CCC" w:rsidRPr="00EA1CCC" w:rsidTr="00F34A88">
        <w:trPr>
          <w:trHeight w:val="20"/>
        </w:trPr>
        <w:tc>
          <w:tcPr>
            <w:tcW w:w="9214" w:type="dxa"/>
            <w:gridSpan w:val="2"/>
            <w:vAlign w:val="center"/>
          </w:tcPr>
          <w:p w:rsidR="00EA1CCC" w:rsidRPr="00EA1CCC" w:rsidRDefault="00EA1CCC" w:rsidP="00EA1CCC">
            <w:pPr>
              <w:spacing w:after="0" w:line="240" w:lineRule="auto"/>
              <w:ind w:firstLine="0"/>
              <w:rPr>
                <w:rFonts w:ascii="Times New Roman" w:hAnsi="Times New Roman"/>
                <w:szCs w:val="24"/>
                <w:lang w:eastAsia="bg-BG"/>
              </w:rPr>
            </w:pPr>
            <w:r w:rsidRPr="00EA1CCC">
              <w:rPr>
                <w:rFonts w:ascii="Times New Roman" w:hAnsi="Times New Roman"/>
                <w:szCs w:val="24"/>
                <w:lang w:eastAsia="bg-BG"/>
              </w:rPr>
              <w:t>Проверката обхваща следните документи:</w:t>
            </w:r>
          </w:p>
          <w:p w:rsidR="00EA1CCC" w:rsidRPr="00EA1CCC" w:rsidRDefault="00EA1CCC" w:rsidP="00EA1CCC">
            <w:pPr>
              <w:numPr>
                <w:ilvl w:val="0"/>
                <w:numId w:val="11"/>
              </w:numPr>
              <w:tabs>
                <w:tab w:val="left" w:pos="866"/>
              </w:tabs>
              <w:spacing w:after="0" w:line="240" w:lineRule="auto"/>
              <w:ind w:left="868" w:hanging="284"/>
              <w:contextualSpacing/>
              <w:jc w:val="left"/>
              <w:rPr>
                <w:rFonts w:ascii="Times New Roman" w:hAnsi="Times New Roman"/>
                <w:szCs w:val="24"/>
                <w:lang w:eastAsia="bg-BG"/>
              </w:rPr>
            </w:pPr>
            <w:r w:rsidRPr="00EA1CCC">
              <w:rPr>
                <w:rFonts w:ascii="Times New Roman" w:hAnsi="Times New Roman"/>
                <w:szCs w:val="24"/>
                <w:lang w:eastAsia="bg-BG"/>
              </w:rPr>
              <w:t>Проекта на решение за откриване на процедурата</w:t>
            </w:r>
          </w:p>
          <w:p w:rsidR="00CE6330" w:rsidRDefault="00EA1CCC" w:rsidP="00EE1826">
            <w:pPr>
              <w:numPr>
                <w:ilvl w:val="0"/>
                <w:numId w:val="11"/>
              </w:numPr>
              <w:tabs>
                <w:tab w:val="left" w:pos="866"/>
              </w:tabs>
              <w:spacing w:after="0" w:line="240" w:lineRule="auto"/>
              <w:ind w:left="866" w:hanging="284"/>
              <w:contextualSpacing/>
              <w:jc w:val="left"/>
              <w:rPr>
                <w:rFonts w:ascii="Times New Roman" w:hAnsi="Times New Roman"/>
                <w:szCs w:val="24"/>
                <w:lang w:eastAsia="bg-BG"/>
              </w:rPr>
            </w:pPr>
            <w:r w:rsidRPr="00CE6330">
              <w:rPr>
                <w:rFonts w:ascii="Times New Roman" w:hAnsi="Times New Roman"/>
                <w:szCs w:val="24"/>
                <w:lang w:eastAsia="bg-BG"/>
              </w:rPr>
              <w:t>Проекта на обявление, с което се оповестява откриването на процедурата</w:t>
            </w:r>
          </w:p>
          <w:p w:rsidR="00EA1CCC" w:rsidRPr="00CE6330" w:rsidRDefault="00EA1CCC" w:rsidP="00EE1826">
            <w:pPr>
              <w:numPr>
                <w:ilvl w:val="0"/>
                <w:numId w:val="11"/>
              </w:numPr>
              <w:tabs>
                <w:tab w:val="left" w:pos="866"/>
              </w:tabs>
              <w:spacing w:after="0" w:line="240" w:lineRule="auto"/>
              <w:ind w:left="866" w:hanging="284"/>
              <w:contextualSpacing/>
              <w:jc w:val="left"/>
              <w:rPr>
                <w:rFonts w:ascii="Times New Roman" w:hAnsi="Times New Roman"/>
                <w:szCs w:val="24"/>
                <w:lang w:eastAsia="bg-BG"/>
              </w:rPr>
            </w:pPr>
            <w:r w:rsidRPr="00CE6330">
              <w:rPr>
                <w:rFonts w:ascii="Times New Roman" w:hAnsi="Times New Roman"/>
                <w:szCs w:val="24"/>
                <w:lang w:eastAsia="bg-BG"/>
              </w:rPr>
              <w:t>Проекта на техническа спецификация</w:t>
            </w:r>
          </w:p>
          <w:p w:rsidR="00EA1CCC" w:rsidRPr="00EA1CCC" w:rsidRDefault="00EA1CCC" w:rsidP="00CE6330">
            <w:pPr>
              <w:numPr>
                <w:ilvl w:val="0"/>
                <w:numId w:val="11"/>
              </w:numPr>
              <w:tabs>
                <w:tab w:val="left" w:pos="866"/>
              </w:tabs>
              <w:spacing w:after="0" w:line="240" w:lineRule="auto"/>
              <w:ind w:left="866" w:hanging="284"/>
              <w:contextualSpacing/>
              <w:jc w:val="left"/>
              <w:rPr>
                <w:rFonts w:ascii="Times New Roman" w:hAnsi="Times New Roman"/>
                <w:szCs w:val="24"/>
                <w:lang w:val="en-US" w:eastAsia="bg-BG"/>
              </w:rPr>
            </w:pPr>
            <w:r w:rsidRPr="00EA1CCC">
              <w:rPr>
                <w:rFonts w:ascii="Times New Roman" w:hAnsi="Times New Roman"/>
                <w:szCs w:val="24"/>
                <w:lang w:eastAsia="bg-BG"/>
              </w:rPr>
              <w:t>Проекта на методика за оценка</w:t>
            </w:r>
          </w:p>
        </w:tc>
      </w:tr>
      <w:tr w:rsidR="00EA1CCC" w:rsidRPr="00EA1CCC" w:rsidTr="00F34A88">
        <w:trPr>
          <w:trHeight w:val="533"/>
        </w:trPr>
        <w:tc>
          <w:tcPr>
            <w:tcW w:w="7230" w:type="dxa"/>
            <w:vAlign w:val="center"/>
          </w:tcPr>
          <w:p w:rsidR="00EA1CCC" w:rsidRPr="00EA1CCC" w:rsidRDefault="00EA1CCC" w:rsidP="00EA1CCC">
            <w:pPr>
              <w:spacing w:after="0" w:line="240" w:lineRule="auto"/>
              <w:ind w:firstLine="0"/>
              <w:rPr>
                <w:rFonts w:ascii="Times New Roman" w:hAnsi="Times New Roman"/>
                <w:szCs w:val="24"/>
                <w:lang w:eastAsia="bg-BG"/>
              </w:rPr>
            </w:pPr>
            <w:r w:rsidRPr="00EA1CCC">
              <w:rPr>
                <w:rFonts w:ascii="Times New Roman" w:hAnsi="Times New Roman"/>
                <w:szCs w:val="24"/>
                <w:lang w:eastAsia="bg-BG"/>
              </w:rPr>
              <w:t>Всички документи, подлежащи на контрол, са получени в АОП</w:t>
            </w:r>
          </w:p>
        </w:tc>
        <w:tc>
          <w:tcPr>
            <w:tcW w:w="1984" w:type="dxa"/>
            <w:vAlign w:val="center"/>
          </w:tcPr>
          <w:p w:rsidR="00EA1CCC" w:rsidRPr="00EA1CCC" w:rsidRDefault="00CE6330" w:rsidP="00EA1CCC">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val="en-US" w:eastAsia="bg-BG"/>
              </w:rPr>
              <w:t xml:space="preserve"> </w:t>
            </w:r>
            <w:r w:rsidR="00EA1CCC" w:rsidRPr="00EA1CCC">
              <w:rPr>
                <w:rFonts w:ascii="Times New Roman" w:hAnsi="Times New Roman"/>
                <w:szCs w:val="24"/>
                <w:lang w:eastAsia="bg-BG"/>
              </w:rPr>
              <w:t xml:space="preserve">Да      </w:t>
            </w:r>
            <w:r w:rsidR="00EA1CCC" w:rsidRPr="00EA1CCC">
              <w:rPr>
                <w:rFonts w:ascii="Times New Roman" w:hAnsi="Times New Roman"/>
                <w:szCs w:val="24"/>
                <w:lang w:eastAsia="bg-BG"/>
              </w:rPr>
              <w:fldChar w:fldCharType="begin">
                <w:ffData>
                  <w:name w:val=""/>
                  <w:enabled/>
                  <w:calcOnExit w:val="0"/>
                  <w:checkBox>
                    <w:sizeAuto/>
                    <w:default w:val="0"/>
                  </w:checkBox>
                </w:ffData>
              </w:fldChar>
            </w:r>
            <w:r w:rsidR="00EA1CCC"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00EA1CCC" w:rsidRPr="00EA1CCC">
              <w:rPr>
                <w:rFonts w:ascii="Times New Roman" w:hAnsi="Times New Roman"/>
                <w:szCs w:val="24"/>
                <w:lang w:eastAsia="bg-BG"/>
              </w:rPr>
              <w:fldChar w:fldCharType="end"/>
            </w:r>
            <w:r w:rsidR="00EA1CCC" w:rsidRPr="00EA1CCC">
              <w:rPr>
                <w:rFonts w:ascii="Times New Roman" w:hAnsi="Times New Roman"/>
                <w:szCs w:val="24"/>
                <w:lang w:val="en-US" w:eastAsia="bg-BG"/>
              </w:rPr>
              <w:t xml:space="preserve">  </w:t>
            </w:r>
            <w:r w:rsidR="00EA1CCC" w:rsidRPr="00EA1CCC">
              <w:rPr>
                <w:rFonts w:ascii="Times New Roman" w:hAnsi="Times New Roman"/>
                <w:szCs w:val="24"/>
                <w:lang w:eastAsia="bg-BG"/>
              </w:rPr>
              <w:t xml:space="preserve">Не </w:t>
            </w:r>
            <w:r w:rsidR="00EA1CCC" w:rsidRPr="00EA1CCC">
              <w:rPr>
                <w:rFonts w:ascii="Times New Roman" w:hAnsi="Times New Roman"/>
                <w:szCs w:val="24"/>
                <w:lang w:val="en-US" w:eastAsia="bg-BG"/>
              </w:rPr>
              <w:t xml:space="preserve">              </w:t>
            </w:r>
            <w:r w:rsidR="00EA1CCC" w:rsidRPr="00EA1CCC">
              <w:rPr>
                <w:rFonts w:ascii="Times New Roman" w:hAnsi="Times New Roman"/>
                <w:szCs w:val="24"/>
                <w:lang w:eastAsia="bg-BG"/>
              </w:rPr>
              <w:t xml:space="preserve">             </w:t>
            </w:r>
          </w:p>
        </w:tc>
      </w:tr>
      <w:tr w:rsidR="00EA1CCC" w:rsidRPr="00EA1CCC" w:rsidTr="00F34A88">
        <w:trPr>
          <w:trHeight w:val="20"/>
        </w:trPr>
        <w:tc>
          <w:tcPr>
            <w:tcW w:w="7230" w:type="dxa"/>
            <w:vAlign w:val="center"/>
          </w:tcPr>
          <w:p w:rsidR="00EA1CCC" w:rsidRPr="00EA1CCC" w:rsidRDefault="00EA1CCC" w:rsidP="00EA1CCC">
            <w:pPr>
              <w:spacing w:after="0" w:line="240" w:lineRule="auto"/>
              <w:ind w:firstLine="0"/>
              <w:rPr>
                <w:rFonts w:ascii="Times New Roman" w:hAnsi="Times New Roman"/>
                <w:szCs w:val="24"/>
                <w:lang w:eastAsia="bg-BG"/>
              </w:rPr>
            </w:pPr>
            <w:r w:rsidRPr="00EA1CCC">
              <w:rPr>
                <w:rFonts w:ascii="Times New Roman" w:hAnsi="Times New Roman"/>
                <w:szCs w:val="24"/>
                <w:lang w:eastAsia="bg-BG"/>
              </w:rPr>
              <w:t>Всички документи, подлежащи на контрол, са изпратени по предвидения ред</w:t>
            </w:r>
            <w:r w:rsidRPr="00EA1CCC">
              <w:rPr>
                <w:rFonts w:ascii="Times New Roman" w:hAnsi="Times New Roman"/>
                <w:szCs w:val="24"/>
                <w:lang w:val="ru-RU" w:eastAsia="bg-BG"/>
              </w:rPr>
              <w:t xml:space="preserve"> </w:t>
            </w:r>
          </w:p>
        </w:tc>
        <w:tc>
          <w:tcPr>
            <w:tcW w:w="1984" w:type="dxa"/>
            <w:vAlign w:val="center"/>
          </w:tcPr>
          <w:p w:rsidR="00EA1CCC" w:rsidRPr="00EA1CCC" w:rsidRDefault="00CE6330" w:rsidP="00EA1CCC">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 xml:space="preserve"> Да      </w:t>
            </w:r>
            <w:r w:rsidR="00EA1CCC" w:rsidRPr="00EA1CCC">
              <w:rPr>
                <w:rFonts w:ascii="Times New Roman" w:hAnsi="Times New Roman"/>
                <w:szCs w:val="24"/>
                <w:lang w:eastAsia="bg-BG"/>
              </w:rPr>
              <w:fldChar w:fldCharType="begin">
                <w:ffData>
                  <w:name w:val=""/>
                  <w:enabled/>
                  <w:calcOnExit w:val="0"/>
                  <w:checkBox>
                    <w:sizeAuto/>
                    <w:default w:val="0"/>
                  </w:checkBox>
                </w:ffData>
              </w:fldChar>
            </w:r>
            <w:r w:rsidR="00EA1CCC" w:rsidRPr="00EA1CCC">
              <w:rPr>
                <w:rFonts w:ascii="Times New Roman" w:hAnsi="Times New Roman"/>
                <w:szCs w:val="24"/>
                <w:lang w:eastAsia="bg-BG"/>
              </w:rPr>
              <w:instrText xml:space="preserve"> FORMCHECKBOX </w:instrText>
            </w:r>
            <w:r w:rsidR="00775D74">
              <w:rPr>
                <w:rFonts w:ascii="Times New Roman" w:hAnsi="Times New Roman"/>
                <w:szCs w:val="24"/>
                <w:lang w:eastAsia="bg-BG"/>
              </w:rPr>
            </w:r>
            <w:r w:rsidR="00775D74">
              <w:rPr>
                <w:rFonts w:ascii="Times New Roman" w:hAnsi="Times New Roman"/>
                <w:szCs w:val="24"/>
                <w:lang w:eastAsia="bg-BG"/>
              </w:rPr>
              <w:fldChar w:fldCharType="separate"/>
            </w:r>
            <w:r w:rsidR="00EA1CCC" w:rsidRPr="00EA1CCC">
              <w:rPr>
                <w:rFonts w:ascii="Times New Roman" w:hAnsi="Times New Roman"/>
                <w:szCs w:val="24"/>
                <w:lang w:eastAsia="bg-BG"/>
              </w:rPr>
              <w:fldChar w:fldCharType="end"/>
            </w:r>
            <w:r w:rsidR="00EA1CCC" w:rsidRPr="00EA1CCC">
              <w:rPr>
                <w:rFonts w:ascii="Times New Roman" w:hAnsi="Times New Roman"/>
                <w:szCs w:val="24"/>
                <w:lang w:eastAsia="bg-BG"/>
              </w:rPr>
              <w:t xml:space="preserve">  Не</w:t>
            </w:r>
          </w:p>
        </w:tc>
      </w:tr>
      <w:tr w:rsidR="00EA1CCC" w:rsidRPr="00EA1CCC" w:rsidTr="00F34A88">
        <w:trPr>
          <w:trHeight w:val="20"/>
        </w:trPr>
        <w:tc>
          <w:tcPr>
            <w:tcW w:w="9214" w:type="dxa"/>
            <w:gridSpan w:val="2"/>
            <w:vAlign w:val="center"/>
          </w:tcPr>
          <w:p w:rsidR="00EA1CCC" w:rsidRPr="00AA5BD6" w:rsidRDefault="00EA1CCC" w:rsidP="00AA5BD6">
            <w:pPr>
              <w:spacing w:after="0" w:line="240" w:lineRule="auto"/>
              <w:ind w:firstLine="0"/>
              <w:rPr>
                <w:rFonts w:ascii="Times New Roman" w:hAnsi="Times New Roman"/>
                <w:i/>
                <w:szCs w:val="24"/>
                <w:lang w:eastAsia="bg-BG"/>
              </w:rPr>
            </w:pPr>
            <w:r w:rsidRPr="00EA1CCC">
              <w:rPr>
                <w:rFonts w:ascii="Times New Roman" w:hAnsi="Times New Roman"/>
                <w:i/>
                <w:szCs w:val="24"/>
                <w:lang w:eastAsia="bg-BG"/>
              </w:rPr>
              <w:t>Коментари и други бележки:</w:t>
            </w:r>
          </w:p>
        </w:tc>
      </w:tr>
    </w:tbl>
    <w:p w:rsidR="007F4C8A" w:rsidRDefault="007F4C8A" w:rsidP="00EA1CCC">
      <w:pPr>
        <w:spacing w:after="0" w:line="240" w:lineRule="auto"/>
        <w:ind w:firstLine="0"/>
        <w:jc w:val="left"/>
        <w:rPr>
          <w:rFonts w:ascii="Times New Roman" w:hAnsi="Times New Roman"/>
          <w:szCs w:val="24"/>
          <w:highlight w:val="yellow"/>
          <w:lang w:eastAsia="bg-BG"/>
        </w:rPr>
      </w:pPr>
    </w:p>
    <w:p w:rsidR="007F4C8A" w:rsidRDefault="007F4C8A" w:rsidP="00EA1CCC">
      <w:pPr>
        <w:spacing w:after="0" w:line="240" w:lineRule="auto"/>
        <w:ind w:firstLine="0"/>
        <w:jc w:val="left"/>
        <w:rPr>
          <w:rFonts w:ascii="Times New Roman" w:hAnsi="Times New Roman"/>
          <w:szCs w:val="24"/>
          <w:highlight w:val="yellow"/>
          <w:lang w:eastAsia="bg-BG"/>
        </w:rPr>
      </w:pP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ІІІ</w:t>
      </w: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Резултати</w:t>
      </w:r>
      <w:r w:rsidRPr="00EA1CCC">
        <w:rPr>
          <w:rFonts w:ascii="Times New Roman" w:hAnsi="Times New Roman"/>
          <w:b/>
          <w:bCs/>
          <w:sz w:val="26"/>
          <w:szCs w:val="26"/>
          <w:lang w:val="en-US"/>
        </w:rPr>
        <w:t xml:space="preserve"> </w:t>
      </w:r>
      <w:r w:rsidRPr="00EA1CCC">
        <w:rPr>
          <w:rFonts w:ascii="Times New Roman" w:hAnsi="Times New Roman"/>
          <w:b/>
          <w:bCs/>
          <w:sz w:val="26"/>
          <w:szCs w:val="26"/>
        </w:rPr>
        <w:t>от контрола</w:t>
      </w:r>
    </w:p>
    <w:p w:rsidR="007F4C8A" w:rsidRDefault="007F4C8A" w:rsidP="00EA1CCC">
      <w:pPr>
        <w:tabs>
          <w:tab w:val="left" w:pos="1440"/>
        </w:tabs>
        <w:spacing w:after="0" w:line="240" w:lineRule="auto"/>
        <w:ind w:firstLine="0"/>
        <w:rPr>
          <w:rFonts w:ascii="Times New Roman" w:hAnsi="Times New Roman"/>
          <w:b/>
          <w:szCs w:val="24"/>
          <w:lang w:eastAsia="bg-BG"/>
        </w:rPr>
      </w:pPr>
    </w:p>
    <w:p w:rsidR="00EA1CCC" w:rsidRPr="00EA1CCC" w:rsidRDefault="0081709C" w:rsidP="00EA1CCC">
      <w:pPr>
        <w:tabs>
          <w:tab w:val="left" w:pos="1440"/>
        </w:tabs>
        <w:spacing w:after="0" w:line="240" w:lineRule="auto"/>
        <w:ind w:firstLine="0"/>
        <w:rPr>
          <w:rFonts w:ascii="Times New Roman" w:hAnsi="Times New Roman"/>
          <w:b/>
          <w:szCs w:val="24"/>
          <w:lang w:eastAsia="bg-BG"/>
        </w:rPr>
      </w:pPr>
      <w:r>
        <w:rPr>
          <w:rFonts w:ascii="Times New Roman" w:hAnsi="Times New Roman"/>
          <w:b/>
          <w:szCs w:val="24"/>
          <w:lang w:eastAsia="bg-BG"/>
        </w:rPr>
        <w:t>Проект на р</w:t>
      </w:r>
      <w:r w:rsidR="00EA1CCC" w:rsidRPr="00EA1CCC">
        <w:rPr>
          <w:rFonts w:ascii="Times New Roman" w:hAnsi="Times New Roman"/>
          <w:b/>
          <w:szCs w:val="24"/>
          <w:lang w:eastAsia="bg-BG"/>
        </w:rPr>
        <w:t>ешение за откриване на процедурата</w:t>
      </w:r>
    </w:p>
    <w:p w:rsidR="00EA1CCC" w:rsidRPr="00EA1CCC" w:rsidRDefault="00EA1CCC" w:rsidP="00EA1CCC">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AA5BD6" w:rsidRPr="00EA1CCC" w:rsidTr="00077EC4">
        <w:trPr>
          <w:trHeight w:val="550"/>
        </w:trPr>
        <w:tc>
          <w:tcPr>
            <w:tcW w:w="9214" w:type="dxa"/>
            <w:tcBorders>
              <w:top w:val="single" w:sz="12" w:space="0" w:color="auto"/>
              <w:bottom w:val="single" w:sz="12" w:space="0" w:color="auto"/>
            </w:tcBorders>
            <w:shd w:val="clear" w:color="auto" w:fill="D9D9D9"/>
          </w:tcPr>
          <w:p w:rsidR="00AA5BD6" w:rsidRPr="00EA1CCC" w:rsidRDefault="00AA5BD6" w:rsidP="00AA5BD6">
            <w:pPr>
              <w:tabs>
                <w:tab w:val="right" w:pos="9360"/>
              </w:tabs>
              <w:spacing w:after="0" w:line="240" w:lineRule="auto"/>
              <w:ind w:firstLine="0"/>
              <w:rPr>
                <w:rFonts w:ascii="Times New Roman" w:hAnsi="Times New Roman"/>
                <w:b/>
                <w:sz w:val="18"/>
                <w:szCs w:val="18"/>
                <w:lang w:eastAsia="bg-BG"/>
              </w:rPr>
            </w:pPr>
            <w:r w:rsidRPr="00EA1CCC">
              <w:rPr>
                <w:rFonts w:ascii="Times New Roman" w:hAnsi="Times New Roman"/>
                <w:b/>
                <w:szCs w:val="24"/>
                <w:lang w:eastAsia="bg-BG"/>
              </w:rPr>
              <w:t>Констатации</w:t>
            </w:r>
          </w:p>
        </w:tc>
      </w:tr>
      <w:tr w:rsidR="00EA1CCC" w:rsidRPr="00EA1CCC" w:rsidTr="00077EC4">
        <w:trPr>
          <w:trHeight w:val="654"/>
        </w:trPr>
        <w:tc>
          <w:tcPr>
            <w:tcW w:w="9214" w:type="dxa"/>
            <w:tcBorders>
              <w:top w:val="single" w:sz="12" w:space="0" w:color="auto"/>
              <w:bottom w:val="single" w:sz="12" w:space="0" w:color="auto"/>
            </w:tcBorders>
            <w:vAlign w:val="center"/>
          </w:tcPr>
          <w:p w:rsidR="00EA1CCC" w:rsidRPr="00EA1CCC"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rsidR="00E640FE" w:rsidRPr="00E640FE" w:rsidRDefault="00D06901" w:rsidP="009E574E">
            <w:pPr>
              <w:spacing w:after="0" w:line="259" w:lineRule="auto"/>
              <w:ind w:firstLine="641"/>
              <w:rPr>
                <w:rFonts w:ascii="Times New Roman" w:hAnsi="Times New Roman"/>
                <w:bCs/>
                <w:sz w:val="26"/>
                <w:szCs w:val="26"/>
                <w:lang w:eastAsia="bg-BG"/>
              </w:rPr>
            </w:pPr>
            <w:r w:rsidRPr="00954B4E">
              <w:rPr>
                <w:rFonts w:ascii="Times New Roman" w:hAnsi="Times New Roman"/>
                <w:bCs/>
                <w:sz w:val="26"/>
                <w:szCs w:val="26"/>
                <w:lang w:eastAsia="bg-BG"/>
              </w:rPr>
              <w:t>В поле VII.3)</w:t>
            </w:r>
            <w:r w:rsidRPr="00B30513">
              <w:rPr>
                <w:rFonts w:ascii="Times New Roman" w:hAnsi="Times New Roman"/>
                <w:bCs/>
                <w:sz w:val="26"/>
                <w:szCs w:val="26"/>
                <w:lang w:eastAsia="bg-BG"/>
              </w:rPr>
              <w:t xml:space="preserve"> по</w:t>
            </w:r>
            <w:r w:rsidRPr="00E640FE">
              <w:rPr>
                <w:rFonts w:ascii="Times New Roman" w:hAnsi="Times New Roman"/>
                <w:bCs/>
                <w:sz w:val="26"/>
                <w:szCs w:val="26"/>
                <w:lang w:eastAsia="bg-BG"/>
              </w:rPr>
              <w:t xml:space="preserve"> отношение на срока за обжалване е направена препратка към </w:t>
            </w:r>
            <w:r>
              <w:rPr>
                <w:rFonts w:ascii="Times New Roman" w:hAnsi="Times New Roman"/>
                <w:bCs/>
                <w:sz w:val="26"/>
                <w:szCs w:val="26"/>
                <w:lang w:eastAsia="bg-BG"/>
              </w:rPr>
              <w:t xml:space="preserve">част шеста, глава Двадесет и седма, </w:t>
            </w:r>
            <w:r w:rsidRPr="00E640FE">
              <w:rPr>
                <w:rFonts w:ascii="Times New Roman" w:hAnsi="Times New Roman"/>
                <w:bCs/>
                <w:sz w:val="26"/>
                <w:szCs w:val="26"/>
                <w:lang w:eastAsia="bg-BG"/>
              </w:rPr>
              <w:t>чл. 197</w:t>
            </w:r>
            <w:r>
              <w:rPr>
                <w:rFonts w:ascii="Times New Roman" w:hAnsi="Times New Roman"/>
                <w:bCs/>
                <w:sz w:val="26"/>
                <w:szCs w:val="26"/>
                <w:lang w:eastAsia="bg-BG"/>
              </w:rPr>
              <w:t>, ал.</w:t>
            </w:r>
            <w:r w:rsidR="00320606">
              <w:rPr>
                <w:rFonts w:ascii="Times New Roman" w:hAnsi="Times New Roman"/>
                <w:bCs/>
                <w:sz w:val="26"/>
                <w:szCs w:val="26"/>
                <w:lang w:eastAsia="bg-BG"/>
              </w:rPr>
              <w:t xml:space="preserve"> </w:t>
            </w:r>
            <w:r>
              <w:rPr>
                <w:rFonts w:ascii="Times New Roman" w:hAnsi="Times New Roman"/>
                <w:bCs/>
                <w:sz w:val="26"/>
                <w:szCs w:val="26"/>
                <w:lang w:eastAsia="bg-BG"/>
              </w:rPr>
              <w:t>1, т.</w:t>
            </w:r>
            <w:r w:rsidR="00320606">
              <w:rPr>
                <w:rFonts w:ascii="Times New Roman" w:hAnsi="Times New Roman"/>
                <w:bCs/>
                <w:sz w:val="26"/>
                <w:szCs w:val="26"/>
                <w:lang w:eastAsia="bg-BG"/>
              </w:rPr>
              <w:t xml:space="preserve"> </w:t>
            </w:r>
            <w:r>
              <w:rPr>
                <w:rFonts w:ascii="Times New Roman" w:hAnsi="Times New Roman"/>
                <w:bCs/>
                <w:sz w:val="26"/>
                <w:szCs w:val="26"/>
                <w:lang w:eastAsia="bg-BG"/>
              </w:rPr>
              <w:t>1</w:t>
            </w:r>
            <w:r w:rsidRPr="00E640FE">
              <w:rPr>
                <w:rFonts w:ascii="Times New Roman" w:hAnsi="Times New Roman"/>
                <w:bCs/>
                <w:sz w:val="26"/>
                <w:szCs w:val="26"/>
                <w:lang w:eastAsia="bg-BG"/>
              </w:rPr>
              <w:t xml:space="preserve"> ЗОП. Доколкото процедурата е „публично състезание“ коректната препратка е чл. 197, ал. 1, т. 4 ЗОП. Препоръчваме редакция.</w:t>
            </w:r>
            <w:r w:rsidR="0068624B">
              <w:rPr>
                <w:rFonts w:ascii="Times New Roman" w:hAnsi="Times New Roman"/>
                <w:bCs/>
                <w:sz w:val="26"/>
                <w:szCs w:val="26"/>
                <w:lang w:eastAsia="bg-BG"/>
              </w:rPr>
              <w:t xml:space="preserve"> Препоръката е относима и към поле </w:t>
            </w:r>
            <w:r w:rsidR="0068624B">
              <w:rPr>
                <w:rFonts w:ascii="Times New Roman" w:hAnsi="Times New Roman"/>
                <w:bCs/>
                <w:sz w:val="26"/>
                <w:szCs w:val="26"/>
                <w:lang w:val="en-US" w:eastAsia="bg-BG"/>
              </w:rPr>
              <w:t>VI.4.3)</w:t>
            </w:r>
            <w:r w:rsidR="0068624B">
              <w:rPr>
                <w:rFonts w:ascii="Times New Roman" w:hAnsi="Times New Roman"/>
                <w:bCs/>
                <w:sz w:val="26"/>
                <w:szCs w:val="26"/>
                <w:lang w:eastAsia="bg-BG"/>
              </w:rPr>
              <w:t xml:space="preserve"> на обявлението.</w:t>
            </w:r>
          </w:p>
        </w:tc>
      </w:tr>
    </w:tbl>
    <w:p w:rsidR="007F4C8A" w:rsidRDefault="007F4C8A" w:rsidP="00EA1CCC">
      <w:pPr>
        <w:spacing w:after="0" w:line="240" w:lineRule="auto"/>
        <w:ind w:firstLine="0"/>
        <w:jc w:val="left"/>
        <w:rPr>
          <w:rFonts w:ascii="Times New Roman" w:hAnsi="Times New Roman"/>
          <w:szCs w:val="24"/>
          <w:lang w:eastAsia="bg-BG"/>
        </w:rPr>
      </w:pPr>
    </w:p>
    <w:p w:rsidR="007F4C8A" w:rsidRDefault="007F4C8A" w:rsidP="00EA1CCC">
      <w:pPr>
        <w:spacing w:after="0" w:line="240" w:lineRule="auto"/>
        <w:ind w:firstLine="0"/>
        <w:jc w:val="left"/>
        <w:rPr>
          <w:rFonts w:ascii="Times New Roman" w:hAnsi="Times New Roman"/>
          <w:szCs w:val="24"/>
          <w:lang w:eastAsia="bg-BG"/>
        </w:rPr>
      </w:pPr>
    </w:p>
    <w:p w:rsidR="007F4C8A" w:rsidRDefault="007F4C8A" w:rsidP="00EA1CCC">
      <w:pPr>
        <w:spacing w:after="0" w:line="240" w:lineRule="auto"/>
        <w:ind w:firstLine="0"/>
        <w:jc w:val="left"/>
        <w:rPr>
          <w:rFonts w:ascii="Times New Roman" w:hAnsi="Times New Roman"/>
          <w:szCs w:val="24"/>
          <w:lang w:eastAsia="bg-BG"/>
        </w:rPr>
      </w:pPr>
    </w:p>
    <w:p w:rsidR="00EA1CCC" w:rsidRPr="00EA1CCC" w:rsidRDefault="00A25076" w:rsidP="00EA1CCC">
      <w:pPr>
        <w:tabs>
          <w:tab w:val="left" w:pos="1440"/>
        </w:tabs>
        <w:spacing w:after="0" w:line="240" w:lineRule="auto"/>
        <w:ind w:firstLine="0"/>
        <w:rPr>
          <w:rFonts w:ascii="Times New Roman" w:hAnsi="Times New Roman"/>
          <w:szCs w:val="24"/>
          <w:lang w:eastAsia="bg-BG"/>
        </w:rPr>
      </w:pPr>
      <w:r>
        <w:rPr>
          <w:rFonts w:ascii="Times New Roman" w:hAnsi="Times New Roman"/>
          <w:b/>
          <w:szCs w:val="24"/>
          <w:lang w:eastAsia="bg-BG"/>
        </w:rPr>
        <w:lastRenderedPageBreak/>
        <w:t>Проект на о</w:t>
      </w:r>
      <w:r w:rsidR="00EA1CCC" w:rsidRPr="00EA1CCC">
        <w:rPr>
          <w:rFonts w:ascii="Times New Roman" w:hAnsi="Times New Roman"/>
          <w:b/>
          <w:szCs w:val="24"/>
          <w:lang w:eastAsia="bg-BG"/>
        </w:rPr>
        <w:t>бявление за обществена поръчка</w:t>
      </w:r>
    </w:p>
    <w:p w:rsidR="00EA1CCC" w:rsidRPr="00EA1CCC" w:rsidRDefault="00EA1CCC" w:rsidP="00EA1CCC">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EA1CCC" w:rsidRPr="00EA1CCC" w:rsidTr="00077EC4">
        <w:trPr>
          <w:trHeight w:val="20"/>
        </w:trPr>
        <w:tc>
          <w:tcPr>
            <w:tcW w:w="9214" w:type="dxa"/>
            <w:shd w:val="clear" w:color="auto" w:fill="D9D9D9"/>
            <w:vAlign w:val="center"/>
          </w:tcPr>
          <w:p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EA1CCC">
              <w:rPr>
                <w:rFonts w:ascii="Times New Roman" w:hAnsi="Times New Roman"/>
                <w:b/>
                <w:szCs w:val="24"/>
                <w:lang w:eastAsia="bg-BG"/>
              </w:rPr>
              <w:t>Възлагащ орган</w:t>
            </w:r>
          </w:p>
        </w:tc>
      </w:tr>
      <w:tr w:rsidR="00EA1CCC" w:rsidRPr="00EA1CCC" w:rsidTr="00077EC4">
        <w:trPr>
          <w:trHeight w:val="596"/>
        </w:trPr>
        <w:tc>
          <w:tcPr>
            <w:tcW w:w="9214" w:type="dxa"/>
            <w:tcBorders>
              <w:top w:val="single" w:sz="4" w:space="0" w:color="auto"/>
            </w:tcBorders>
          </w:tcPr>
          <w:p w:rsidR="00EA1CCC" w:rsidRPr="00EA1CCC" w:rsidRDefault="00EA1CCC" w:rsidP="00EA1CCC">
            <w:pPr>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rsidR="00EA1CCC" w:rsidRPr="00EA1CCC" w:rsidRDefault="009E574E" w:rsidP="0078778B">
            <w:pPr>
              <w:spacing w:after="0" w:line="259" w:lineRule="auto"/>
              <w:ind w:firstLine="641"/>
              <w:rPr>
                <w:rFonts w:ascii="Times New Roman" w:hAnsi="Times New Roman"/>
                <w:bCs/>
                <w:sz w:val="26"/>
                <w:szCs w:val="26"/>
                <w:lang w:eastAsia="bg-BG"/>
              </w:rPr>
            </w:pPr>
            <w:r w:rsidRPr="00954B4E">
              <w:rPr>
                <w:rFonts w:ascii="Times New Roman" w:hAnsi="Times New Roman"/>
                <w:bCs/>
                <w:sz w:val="26"/>
                <w:szCs w:val="26"/>
                <w:lang w:eastAsia="bg-BG"/>
              </w:rPr>
              <w:t xml:space="preserve">В поле I.1) </w:t>
            </w:r>
            <w:r>
              <w:rPr>
                <w:rFonts w:ascii="Times New Roman" w:hAnsi="Times New Roman"/>
                <w:bCs/>
                <w:sz w:val="26"/>
                <w:szCs w:val="26"/>
                <w:lang w:eastAsia="bg-BG"/>
              </w:rPr>
              <w:t xml:space="preserve">и в поле І.3) е посочен един и същи електронен адрес по отношение на профил на купувача и за достъп до документацията за участие. </w:t>
            </w:r>
            <w:r w:rsidRPr="00B30513">
              <w:rPr>
                <w:rFonts w:ascii="Times New Roman" w:hAnsi="Times New Roman"/>
                <w:sz w:val="26"/>
                <w:szCs w:val="26"/>
                <w:lang w:eastAsia="bg-BG"/>
              </w:rPr>
              <w:t xml:space="preserve">Препоръчваме при откриване на процедурата в поле I.1) възложителят да посочи адрес на профила на купувача, а в поле I.3) – интернет адрес, на който е осигурен пряк достъп до електронната преписка </w:t>
            </w:r>
            <w:r w:rsidRPr="00954B4E">
              <w:rPr>
                <w:rFonts w:ascii="Times New Roman" w:hAnsi="Times New Roman"/>
                <w:sz w:val="26"/>
                <w:szCs w:val="26"/>
                <w:lang w:eastAsia="bg-BG"/>
              </w:rPr>
              <w:t xml:space="preserve">на поръчката, в която следва да се съдържа документацията за участие в нея </w:t>
            </w:r>
            <w:r w:rsidRPr="00954B4E">
              <w:rPr>
                <w:rFonts w:ascii="Times New Roman" w:hAnsi="Times New Roman"/>
                <w:bCs/>
                <w:sz w:val="26"/>
                <w:szCs w:val="26"/>
                <w:lang w:eastAsia="bg-BG"/>
              </w:rPr>
              <w:t xml:space="preserve">(чл. 32, ал. 2 и чл. 42, ал. 2, т. 2 и ал. 3 ЗОП и Приложение 4, част Б, т. 2 ЗОП). </w:t>
            </w:r>
          </w:p>
        </w:tc>
      </w:tr>
    </w:tbl>
    <w:p w:rsidR="00EA1CCC" w:rsidRPr="00EA1CCC" w:rsidRDefault="00EA1CCC" w:rsidP="00EA1CCC">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AA5BD6" w:rsidRPr="00EA1CCC" w:rsidTr="00077EC4">
        <w:trPr>
          <w:trHeight w:val="20"/>
        </w:trPr>
        <w:tc>
          <w:tcPr>
            <w:tcW w:w="9214" w:type="dxa"/>
            <w:tcBorders>
              <w:top w:val="single" w:sz="12" w:space="0" w:color="auto"/>
              <w:bottom w:val="single" w:sz="12" w:space="0" w:color="auto"/>
            </w:tcBorders>
            <w:shd w:val="clear" w:color="auto" w:fill="D9D9D9"/>
            <w:vAlign w:val="center"/>
          </w:tcPr>
          <w:p w:rsidR="00AA5BD6" w:rsidRPr="00EA1CCC" w:rsidRDefault="00AA5BD6" w:rsidP="00EA1CCC">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EA1CCC">
              <w:rPr>
                <w:rFonts w:ascii="Times New Roman" w:hAnsi="Times New Roman"/>
                <w:b/>
                <w:szCs w:val="24"/>
                <w:lang w:eastAsia="bg-BG"/>
              </w:rPr>
              <w:t>Икономическо и финансово състояние</w:t>
            </w:r>
          </w:p>
        </w:tc>
      </w:tr>
      <w:tr w:rsidR="00EA1CCC" w:rsidRPr="00EA1CCC" w:rsidTr="00077EC4">
        <w:trPr>
          <w:trHeight w:val="20"/>
        </w:trPr>
        <w:tc>
          <w:tcPr>
            <w:tcW w:w="9214" w:type="dxa"/>
            <w:tcBorders>
              <w:top w:val="single" w:sz="4" w:space="0" w:color="auto"/>
            </w:tcBorders>
            <w:vAlign w:val="center"/>
          </w:tcPr>
          <w:p w:rsidR="00EA1CCC" w:rsidRPr="00EA1CCC"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rsidR="00EA1CCC" w:rsidRPr="00EA1CCC" w:rsidRDefault="00970E49" w:rsidP="008672EB">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поле </w:t>
            </w:r>
            <w:r>
              <w:rPr>
                <w:rFonts w:ascii="Times New Roman" w:hAnsi="Times New Roman"/>
                <w:bCs/>
                <w:sz w:val="26"/>
                <w:szCs w:val="26"/>
                <w:lang w:val="en-US" w:eastAsia="bg-BG"/>
              </w:rPr>
              <w:t>III.1.3)</w:t>
            </w:r>
            <w:r>
              <w:rPr>
                <w:rFonts w:ascii="Times New Roman" w:hAnsi="Times New Roman"/>
                <w:bCs/>
                <w:sz w:val="26"/>
                <w:szCs w:val="26"/>
                <w:lang w:eastAsia="bg-BG"/>
              </w:rPr>
              <w:t xml:space="preserve"> е посочено, че участникът трябва да има застраховка „Професионална отговорност“ на участниците в проектирането и строителството по чл. 171 от ЗУТ</w:t>
            </w:r>
            <w:r w:rsidR="00A526C0">
              <w:rPr>
                <w:rFonts w:ascii="Times New Roman" w:hAnsi="Times New Roman"/>
                <w:bCs/>
                <w:sz w:val="26"/>
                <w:szCs w:val="26"/>
                <w:lang w:eastAsia="bg-BG"/>
              </w:rPr>
              <w:t xml:space="preserve">, съгласно Наредба за условията и реда за задължително застраховане в </w:t>
            </w:r>
            <w:r w:rsidR="00C3311D">
              <w:rPr>
                <w:rFonts w:ascii="Times New Roman" w:hAnsi="Times New Roman"/>
                <w:bCs/>
                <w:sz w:val="26"/>
                <w:szCs w:val="26"/>
                <w:lang w:eastAsia="bg-BG"/>
              </w:rPr>
              <w:t xml:space="preserve">проектирането и строителството, </w:t>
            </w:r>
            <w:r w:rsidR="00A526C0">
              <w:rPr>
                <w:rFonts w:ascii="Times New Roman" w:hAnsi="Times New Roman"/>
                <w:bCs/>
                <w:sz w:val="26"/>
                <w:szCs w:val="26"/>
                <w:lang w:eastAsia="bg-BG"/>
              </w:rPr>
              <w:t xml:space="preserve">или съответен валиден аналогичен документ. </w:t>
            </w:r>
            <w:r w:rsidR="00C3311D">
              <w:rPr>
                <w:rFonts w:ascii="Times New Roman" w:hAnsi="Times New Roman"/>
                <w:bCs/>
                <w:sz w:val="26"/>
                <w:szCs w:val="26"/>
                <w:lang w:eastAsia="bg-BG"/>
              </w:rPr>
              <w:t>Препоръчваме да се допълни</w:t>
            </w:r>
            <w:r w:rsidR="008672EB">
              <w:rPr>
                <w:rFonts w:ascii="Times New Roman" w:hAnsi="Times New Roman"/>
                <w:bCs/>
                <w:sz w:val="26"/>
                <w:szCs w:val="26"/>
                <w:lang w:eastAsia="bg-BG"/>
              </w:rPr>
              <w:t xml:space="preserve"> възможността за еквивалент</w:t>
            </w:r>
            <w:r w:rsidR="00C3311D">
              <w:rPr>
                <w:rFonts w:ascii="Times New Roman" w:hAnsi="Times New Roman"/>
                <w:bCs/>
                <w:sz w:val="26"/>
                <w:szCs w:val="26"/>
                <w:lang w:eastAsia="bg-BG"/>
              </w:rPr>
              <w:t xml:space="preserve">, в случай че участникът е </w:t>
            </w:r>
            <w:r w:rsidR="00614B63">
              <w:rPr>
                <w:rFonts w:ascii="Times New Roman" w:hAnsi="Times New Roman"/>
                <w:bCs/>
                <w:sz w:val="26"/>
                <w:szCs w:val="26"/>
                <w:lang w:eastAsia="bg-BG"/>
              </w:rPr>
              <w:t>чуждестранно лице.</w:t>
            </w:r>
          </w:p>
        </w:tc>
      </w:tr>
    </w:tbl>
    <w:p w:rsidR="00EA1CCC" w:rsidRDefault="00EA1CCC" w:rsidP="00EA1CCC">
      <w:pPr>
        <w:spacing w:after="0" w:line="240" w:lineRule="auto"/>
        <w:ind w:firstLine="0"/>
        <w:jc w:val="left"/>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AA5BD6" w:rsidRPr="00FA7AE3" w:rsidTr="00077EC4">
        <w:trPr>
          <w:trHeight w:val="20"/>
        </w:trPr>
        <w:tc>
          <w:tcPr>
            <w:tcW w:w="9214" w:type="dxa"/>
            <w:tcBorders>
              <w:bottom w:val="single" w:sz="12" w:space="0" w:color="auto"/>
            </w:tcBorders>
            <w:shd w:val="clear" w:color="auto" w:fill="D9D9D9"/>
            <w:vAlign w:val="center"/>
          </w:tcPr>
          <w:p w:rsidR="00AA5BD6" w:rsidRPr="00FA7AE3" w:rsidRDefault="00AA5BD6" w:rsidP="00FA7AE3">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FA7AE3">
              <w:rPr>
                <w:rFonts w:ascii="Times New Roman" w:hAnsi="Times New Roman"/>
                <w:b/>
                <w:szCs w:val="24"/>
                <w:lang w:eastAsia="bg-BG"/>
              </w:rPr>
              <w:t>Технически и професионални възможности</w:t>
            </w:r>
          </w:p>
        </w:tc>
      </w:tr>
      <w:tr w:rsidR="00FA7AE3" w:rsidRPr="00FA7AE3" w:rsidTr="00077EC4">
        <w:trPr>
          <w:trHeight w:val="20"/>
        </w:trPr>
        <w:tc>
          <w:tcPr>
            <w:tcW w:w="9214" w:type="dxa"/>
            <w:tcBorders>
              <w:top w:val="single" w:sz="4" w:space="0" w:color="auto"/>
            </w:tcBorders>
            <w:vAlign w:val="center"/>
          </w:tcPr>
          <w:p w:rsidR="00FA7AE3" w:rsidRPr="00FA7AE3" w:rsidRDefault="00FA7AE3" w:rsidP="00FA7AE3">
            <w:pPr>
              <w:tabs>
                <w:tab w:val="left" w:pos="650"/>
                <w:tab w:val="right" w:pos="9360"/>
              </w:tabs>
              <w:spacing w:after="0" w:line="240" w:lineRule="auto"/>
              <w:ind w:firstLine="0"/>
              <w:jc w:val="left"/>
              <w:rPr>
                <w:rFonts w:ascii="Times New Roman" w:hAnsi="Times New Roman"/>
                <w:i/>
                <w:szCs w:val="24"/>
                <w:lang w:eastAsia="bg-BG"/>
              </w:rPr>
            </w:pPr>
            <w:r w:rsidRPr="00FA7AE3">
              <w:rPr>
                <w:rFonts w:ascii="Times New Roman" w:hAnsi="Times New Roman"/>
                <w:i/>
                <w:szCs w:val="24"/>
                <w:lang w:eastAsia="bg-BG"/>
              </w:rPr>
              <w:t>Констатации и препоръки:</w:t>
            </w:r>
          </w:p>
          <w:p w:rsidR="00DE5DAA" w:rsidRPr="005802EC" w:rsidRDefault="0034003D" w:rsidP="00A81D57">
            <w:pPr>
              <w:tabs>
                <w:tab w:val="left" w:pos="5983"/>
                <w:tab w:val="left" w:pos="7123"/>
                <w:tab w:val="right" w:pos="9360"/>
              </w:tabs>
              <w:spacing w:after="0" w:line="240" w:lineRule="auto"/>
              <w:ind w:firstLine="567"/>
              <w:rPr>
                <w:rFonts w:ascii="Times New Roman" w:hAnsi="Times New Roman"/>
                <w:bCs/>
                <w:sz w:val="26"/>
                <w:szCs w:val="26"/>
                <w:lang w:eastAsia="bg-BG"/>
              </w:rPr>
            </w:pPr>
            <w:r>
              <w:rPr>
                <w:rFonts w:ascii="Times New Roman" w:hAnsi="Times New Roman"/>
                <w:sz w:val="26"/>
                <w:szCs w:val="26"/>
                <w:lang w:eastAsia="bg-BG"/>
              </w:rPr>
              <w:t xml:space="preserve">В поле </w:t>
            </w:r>
            <w:r>
              <w:rPr>
                <w:rFonts w:ascii="Times New Roman" w:hAnsi="Times New Roman"/>
                <w:sz w:val="26"/>
                <w:szCs w:val="26"/>
                <w:lang w:val="en-US" w:eastAsia="bg-BG"/>
              </w:rPr>
              <w:t>III.1.3)</w:t>
            </w:r>
            <w:r>
              <w:rPr>
                <w:rFonts w:ascii="Times New Roman" w:hAnsi="Times New Roman"/>
                <w:sz w:val="26"/>
                <w:szCs w:val="26"/>
                <w:lang w:eastAsia="bg-BG"/>
              </w:rPr>
              <w:t xml:space="preserve"> е поставено изискване участниците да са изпълнили дейности с предмет идентичен или сходен с този на настоящата обществена поръчка.</w:t>
            </w:r>
            <w:r w:rsidR="008A3669">
              <w:rPr>
                <w:rFonts w:ascii="Times New Roman" w:hAnsi="Times New Roman"/>
                <w:sz w:val="26"/>
                <w:szCs w:val="26"/>
                <w:lang w:eastAsia="bg-BG"/>
              </w:rPr>
              <w:t xml:space="preserve"> </w:t>
            </w:r>
            <w:r w:rsidR="008A3669" w:rsidRPr="00B556F4">
              <w:rPr>
                <w:rFonts w:ascii="Times New Roman" w:hAnsi="Times New Roman"/>
                <w:bCs/>
                <w:sz w:val="26"/>
                <w:szCs w:val="26"/>
                <w:lang w:eastAsia="bg-BG"/>
              </w:rPr>
              <w:t>Условието не е обвързано с минимален</w:t>
            </w:r>
            <w:r w:rsidR="008A3669">
              <w:rPr>
                <w:rFonts w:ascii="Times New Roman" w:hAnsi="Times New Roman"/>
                <w:bCs/>
                <w:sz w:val="26"/>
                <w:szCs w:val="26"/>
                <w:lang w:eastAsia="bg-BG"/>
              </w:rPr>
              <w:t xml:space="preserve"> обем (вж. чл. 63, ал. 1, т. 1, б. „а“ и „б“ ЗОП)</w:t>
            </w:r>
            <w:r w:rsidR="00A81D57">
              <w:rPr>
                <w:rFonts w:ascii="Times New Roman" w:hAnsi="Times New Roman"/>
                <w:bCs/>
                <w:sz w:val="26"/>
                <w:szCs w:val="26"/>
                <w:lang w:eastAsia="bg-BG"/>
              </w:rPr>
              <w:t>, с оглед на което изпълнението на дейност със сходен предмет, независимо от нейния обем, следва да се приеме за достатъчен опит</w:t>
            </w:r>
            <w:r w:rsidR="008A3669">
              <w:rPr>
                <w:rFonts w:ascii="Times New Roman" w:hAnsi="Times New Roman"/>
                <w:bCs/>
                <w:sz w:val="26"/>
                <w:szCs w:val="26"/>
                <w:lang w:eastAsia="bg-BG"/>
              </w:rPr>
              <w:t xml:space="preserve">. </w:t>
            </w:r>
            <w:r w:rsidR="009D0F3F">
              <w:rPr>
                <w:rFonts w:ascii="Times New Roman" w:hAnsi="Times New Roman"/>
                <w:bCs/>
                <w:sz w:val="26"/>
                <w:szCs w:val="26"/>
                <w:lang w:eastAsia="bg-BG"/>
              </w:rPr>
              <w:t>В допълнение, н</w:t>
            </w:r>
            <w:r w:rsidR="005802EC">
              <w:rPr>
                <w:rFonts w:ascii="Times New Roman" w:hAnsi="Times New Roman"/>
                <w:bCs/>
                <w:sz w:val="26"/>
                <w:szCs w:val="26"/>
                <w:lang w:eastAsia="bg-BG"/>
              </w:rPr>
              <w:t xml:space="preserve">е са посочени документите, с които се доказва изпълнението на условието, както и че на етап подаване на оферти, съответствието с </w:t>
            </w:r>
            <w:r w:rsidR="00730B38">
              <w:rPr>
                <w:rFonts w:ascii="Times New Roman" w:hAnsi="Times New Roman"/>
                <w:bCs/>
                <w:sz w:val="26"/>
                <w:szCs w:val="26"/>
                <w:lang w:eastAsia="bg-BG"/>
              </w:rPr>
              <w:t xml:space="preserve">поставените изисквания в поле </w:t>
            </w:r>
            <w:r w:rsidR="00730B38">
              <w:rPr>
                <w:rFonts w:ascii="Times New Roman" w:hAnsi="Times New Roman"/>
                <w:bCs/>
                <w:sz w:val="26"/>
                <w:szCs w:val="26"/>
                <w:lang w:val="en-US" w:eastAsia="bg-BG"/>
              </w:rPr>
              <w:t>III.1.3)</w:t>
            </w:r>
            <w:r w:rsidR="005802EC">
              <w:rPr>
                <w:rFonts w:ascii="Times New Roman" w:hAnsi="Times New Roman"/>
                <w:bCs/>
                <w:sz w:val="26"/>
                <w:szCs w:val="26"/>
                <w:lang w:eastAsia="bg-BG"/>
              </w:rPr>
              <w:t xml:space="preserve"> се декларира в ЕЕДОП. </w:t>
            </w:r>
            <w:r w:rsidR="00805771" w:rsidRPr="00837A17">
              <w:rPr>
                <w:rFonts w:ascii="Times New Roman" w:hAnsi="Times New Roman"/>
                <w:bCs/>
                <w:sz w:val="26"/>
                <w:szCs w:val="26"/>
                <w:lang w:eastAsia="bg-BG"/>
              </w:rPr>
              <w:t xml:space="preserve">Съгласно чл. 59, ал. 5 ЗОП в обявлението, с което се оповестява откриването на процедурата, възложителят трябва да посочи освен критериите за подбор и документите, чрез които се доказва изпълнението им. В съответствие с чл. 67, ал. 1 ЗОП при подаване на офертата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w:t>
            </w:r>
            <w:r w:rsidR="00805771" w:rsidRPr="00837A17">
              <w:rPr>
                <w:rFonts w:ascii="Times New Roman" w:hAnsi="Times New Roman"/>
                <w:bCs/>
                <w:sz w:val="26"/>
                <w:szCs w:val="26"/>
                <w:lang w:val="en-US" w:eastAsia="bg-BG"/>
              </w:rPr>
              <w:t>(</w:t>
            </w:r>
            <w:r w:rsidR="00805771" w:rsidRPr="00837A17">
              <w:rPr>
                <w:rFonts w:ascii="Times New Roman" w:hAnsi="Times New Roman"/>
                <w:bCs/>
                <w:sz w:val="26"/>
                <w:szCs w:val="26"/>
                <w:lang w:eastAsia="bg-BG"/>
              </w:rPr>
              <w:t>ЕЕДОП</w:t>
            </w:r>
            <w:r w:rsidR="00805771" w:rsidRPr="00837A17">
              <w:rPr>
                <w:rFonts w:ascii="Times New Roman" w:hAnsi="Times New Roman"/>
                <w:bCs/>
                <w:sz w:val="26"/>
                <w:szCs w:val="26"/>
                <w:lang w:val="en-US" w:eastAsia="bg-BG"/>
              </w:rPr>
              <w:t>)</w:t>
            </w:r>
            <w:r w:rsidR="00805771" w:rsidRPr="00837A17">
              <w:rPr>
                <w:rFonts w:ascii="Times New Roman" w:hAnsi="Times New Roman"/>
                <w:bCs/>
                <w:sz w:val="26"/>
                <w:szCs w:val="26"/>
                <w:lang w:eastAsia="bg-BG"/>
              </w:rPr>
              <w:t>, а документите се представят при условията на чл. 67, ал. 5 и 6 ЗОП. Препоръчваме допълнение.</w:t>
            </w:r>
          </w:p>
        </w:tc>
      </w:tr>
    </w:tbl>
    <w:p w:rsidR="00FA7AE3" w:rsidRDefault="00FA7AE3" w:rsidP="00FA7AE3">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ED1A43" w:rsidRPr="00EA1CCC" w:rsidTr="00077EC4">
        <w:trPr>
          <w:trHeight w:val="20"/>
        </w:trPr>
        <w:tc>
          <w:tcPr>
            <w:tcW w:w="9214" w:type="dxa"/>
            <w:tcBorders>
              <w:top w:val="single" w:sz="12" w:space="0" w:color="auto"/>
              <w:bottom w:val="single" w:sz="12" w:space="0" w:color="auto"/>
            </w:tcBorders>
            <w:shd w:val="clear" w:color="auto" w:fill="E0E0E0"/>
            <w:vAlign w:val="center"/>
          </w:tcPr>
          <w:p w:rsidR="00ED1A43" w:rsidRPr="00ED1A43" w:rsidRDefault="00ED1A43" w:rsidP="00EA1CCC">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EA1CCC">
              <w:rPr>
                <w:rFonts w:ascii="Times New Roman" w:hAnsi="Times New Roman"/>
                <w:b/>
                <w:bCs/>
                <w:szCs w:val="24"/>
                <w:lang w:eastAsia="bg-BG"/>
              </w:rPr>
              <w:t>Условия във връзка с поръчката</w:t>
            </w:r>
          </w:p>
        </w:tc>
      </w:tr>
      <w:tr w:rsidR="00EA1CCC" w:rsidRPr="00EA1CCC" w:rsidTr="00077EC4">
        <w:trPr>
          <w:trHeight w:val="20"/>
        </w:trPr>
        <w:tc>
          <w:tcPr>
            <w:tcW w:w="9214" w:type="dxa"/>
            <w:tcBorders>
              <w:top w:val="single" w:sz="4" w:space="0" w:color="auto"/>
            </w:tcBorders>
            <w:vAlign w:val="center"/>
          </w:tcPr>
          <w:p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rsidR="00EA1CCC" w:rsidRPr="00EA1CCC" w:rsidRDefault="00583997" w:rsidP="005F4596">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583997">
              <w:rPr>
                <w:rFonts w:ascii="Times New Roman" w:hAnsi="Times New Roman"/>
                <w:bCs/>
                <w:sz w:val="26"/>
                <w:szCs w:val="26"/>
                <w:lang w:eastAsia="bg-BG"/>
              </w:rPr>
              <w:t xml:space="preserve">В поле </w:t>
            </w:r>
            <w:r w:rsidRPr="00583997">
              <w:rPr>
                <w:rFonts w:ascii="Times New Roman" w:hAnsi="Times New Roman"/>
                <w:bCs/>
                <w:sz w:val="26"/>
                <w:szCs w:val="26"/>
                <w:lang w:val="en-US" w:eastAsia="bg-BG"/>
              </w:rPr>
              <w:t xml:space="preserve">III.2.2) </w:t>
            </w:r>
            <w:r w:rsidRPr="00583997">
              <w:rPr>
                <w:rFonts w:ascii="Times New Roman" w:hAnsi="Times New Roman"/>
                <w:bCs/>
                <w:sz w:val="26"/>
                <w:szCs w:val="26"/>
                <w:lang w:eastAsia="bg-BG"/>
              </w:rPr>
              <w:t>е записано, че „условията за изпълнение на поръчката са указани в документацията</w:t>
            </w:r>
            <w:r>
              <w:rPr>
                <w:rFonts w:ascii="Times New Roman" w:hAnsi="Times New Roman"/>
                <w:bCs/>
                <w:sz w:val="26"/>
                <w:szCs w:val="26"/>
                <w:lang w:eastAsia="bg-BG"/>
              </w:rPr>
              <w:t xml:space="preserve"> за обществена поръчка</w:t>
            </w:r>
            <w:r w:rsidRPr="00583997">
              <w:rPr>
                <w:rFonts w:ascii="Times New Roman" w:hAnsi="Times New Roman"/>
                <w:bCs/>
                <w:sz w:val="26"/>
                <w:szCs w:val="26"/>
                <w:lang w:eastAsia="bg-BG"/>
              </w:rPr>
              <w:t xml:space="preserve">“. </w:t>
            </w:r>
            <w:r w:rsidR="00E62352">
              <w:rPr>
                <w:rFonts w:ascii="Times New Roman" w:hAnsi="Times New Roman"/>
                <w:bCs/>
                <w:sz w:val="26"/>
                <w:szCs w:val="26"/>
                <w:lang w:eastAsia="bg-BG"/>
              </w:rPr>
              <w:t xml:space="preserve">Възложителят </w:t>
            </w:r>
            <w:r w:rsidR="003A4D4F">
              <w:rPr>
                <w:rFonts w:ascii="Times New Roman" w:hAnsi="Times New Roman"/>
                <w:bCs/>
                <w:sz w:val="26"/>
                <w:szCs w:val="26"/>
                <w:lang w:eastAsia="bg-BG"/>
              </w:rPr>
              <w:t xml:space="preserve">следва </w:t>
            </w:r>
            <w:r w:rsidR="00E62352">
              <w:rPr>
                <w:rFonts w:ascii="Times New Roman" w:hAnsi="Times New Roman"/>
                <w:bCs/>
                <w:sz w:val="26"/>
                <w:szCs w:val="26"/>
                <w:lang w:eastAsia="bg-BG"/>
              </w:rPr>
              <w:t xml:space="preserve">да има </w:t>
            </w:r>
            <w:r w:rsidR="00E62352">
              <w:rPr>
                <w:rFonts w:ascii="Times New Roman" w:hAnsi="Times New Roman"/>
                <w:bCs/>
                <w:sz w:val="26"/>
                <w:szCs w:val="26"/>
                <w:lang w:eastAsia="bg-BG"/>
              </w:rPr>
              <w:lastRenderedPageBreak/>
              <w:t xml:space="preserve">предвид, че </w:t>
            </w:r>
            <w:r w:rsidR="003A4D4F">
              <w:rPr>
                <w:rFonts w:ascii="Times New Roman" w:hAnsi="Times New Roman"/>
                <w:bCs/>
                <w:sz w:val="26"/>
                <w:szCs w:val="26"/>
                <w:lang w:eastAsia="bg-BG"/>
              </w:rPr>
              <w:t>обявлението за публично състезание трябва да съдъ</w:t>
            </w:r>
            <w:r w:rsidR="005F4596">
              <w:rPr>
                <w:rFonts w:ascii="Times New Roman" w:hAnsi="Times New Roman"/>
                <w:bCs/>
                <w:sz w:val="26"/>
                <w:szCs w:val="26"/>
                <w:lang w:eastAsia="bg-BG"/>
              </w:rPr>
              <w:t>р</w:t>
            </w:r>
            <w:r w:rsidR="003A4D4F">
              <w:rPr>
                <w:rFonts w:ascii="Times New Roman" w:hAnsi="Times New Roman"/>
                <w:bCs/>
                <w:sz w:val="26"/>
                <w:szCs w:val="26"/>
                <w:lang w:eastAsia="bg-BG"/>
              </w:rPr>
              <w:t>жа информацията съгласно Приложение № 19 към чл. 178, ал. 1 ЗОП</w:t>
            </w:r>
            <w:r w:rsidR="00A81D57">
              <w:rPr>
                <w:rFonts w:ascii="Times New Roman" w:hAnsi="Times New Roman"/>
                <w:bCs/>
                <w:sz w:val="26"/>
                <w:szCs w:val="26"/>
                <w:lang w:eastAsia="bg-BG"/>
              </w:rPr>
              <w:t xml:space="preserve"> (вж. т. 8)</w:t>
            </w:r>
            <w:r w:rsidR="003A4D4F">
              <w:rPr>
                <w:rFonts w:ascii="Times New Roman" w:hAnsi="Times New Roman"/>
                <w:bCs/>
                <w:sz w:val="26"/>
                <w:szCs w:val="26"/>
                <w:lang w:eastAsia="bg-BG"/>
              </w:rPr>
              <w:t xml:space="preserve">. </w:t>
            </w:r>
            <w:r w:rsidR="00C60970">
              <w:rPr>
                <w:rFonts w:ascii="Times New Roman" w:hAnsi="Times New Roman"/>
                <w:bCs/>
                <w:sz w:val="26"/>
                <w:szCs w:val="26"/>
                <w:lang w:eastAsia="bg-BG"/>
              </w:rPr>
              <w:t xml:space="preserve">Препоръчваме </w:t>
            </w:r>
            <w:r w:rsidR="00BD7490">
              <w:rPr>
                <w:rFonts w:ascii="Times New Roman" w:hAnsi="Times New Roman"/>
                <w:bCs/>
                <w:sz w:val="26"/>
                <w:szCs w:val="26"/>
                <w:lang w:eastAsia="bg-BG"/>
              </w:rPr>
              <w:t xml:space="preserve"> корекция.</w:t>
            </w:r>
          </w:p>
        </w:tc>
      </w:tr>
    </w:tbl>
    <w:p w:rsidR="00EA1CCC" w:rsidRPr="00EA1CCC" w:rsidRDefault="00EA1CCC" w:rsidP="00EA1CCC">
      <w:pPr>
        <w:spacing w:after="0" w:line="240" w:lineRule="auto"/>
        <w:ind w:firstLine="0"/>
        <w:jc w:val="left"/>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EA1CCC" w:rsidRPr="00EA1CCC" w:rsidTr="00077EC4">
        <w:trPr>
          <w:trHeight w:val="20"/>
        </w:trPr>
        <w:tc>
          <w:tcPr>
            <w:tcW w:w="9214" w:type="dxa"/>
            <w:tcBorders>
              <w:bottom w:val="single" w:sz="12" w:space="0" w:color="auto"/>
            </w:tcBorders>
            <w:shd w:val="clear" w:color="auto" w:fill="D9D9D9"/>
            <w:vAlign w:val="center"/>
          </w:tcPr>
          <w:p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EA1CCC">
              <w:rPr>
                <w:rFonts w:ascii="Times New Roman" w:hAnsi="Times New Roman"/>
                <w:b/>
                <w:szCs w:val="24"/>
                <w:lang w:eastAsia="bg-BG"/>
              </w:rPr>
              <w:t>Административна информация</w:t>
            </w:r>
          </w:p>
        </w:tc>
      </w:tr>
      <w:tr w:rsidR="00EA1CCC" w:rsidRPr="00EA1CCC" w:rsidTr="00077EC4">
        <w:trPr>
          <w:trHeight w:val="20"/>
        </w:trPr>
        <w:tc>
          <w:tcPr>
            <w:tcW w:w="9214" w:type="dxa"/>
            <w:tcBorders>
              <w:top w:val="single" w:sz="2" w:space="0" w:color="auto"/>
              <w:bottom w:val="single" w:sz="12" w:space="0" w:color="auto"/>
              <w:right w:val="single" w:sz="12" w:space="0" w:color="auto"/>
            </w:tcBorders>
            <w:vAlign w:val="center"/>
          </w:tcPr>
          <w:p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rsidR="00EA1CCC" w:rsidRPr="002570CB" w:rsidRDefault="002570CB" w:rsidP="00EA1CCC">
            <w:pPr>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поле </w:t>
            </w:r>
            <w:r>
              <w:rPr>
                <w:rFonts w:ascii="Times New Roman" w:hAnsi="Times New Roman"/>
                <w:bCs/>
                <w:sz w:val="26"/>
                <w:szCs w:val="26"/>
                <w:lang w:val="en-US" w:eastAsia="bg-BG"/>
              </w:rPr>
              <w:t xml:space="preserve">VI.3) </w:t>
            </w:r>
            <w:r>
              <w:rPr>
                <w:rFonts w:ascii="Times New Roman" w:hAnsi="Times New Roman"/>
                <w:bCs/>
                <w:sz w:val="26"/>
                <w:szCs w:val="26"/>
                <w:lang w:eastAsia="bg-BG"/>
              </w:rPr>
              <w:t>са направени много съкращения, което прави текста</w:t>
            </w:r>
            <w:r w:rsidR="003E2346">
              <w:rPr>
                <w:rFonts w:ascii="Times New Roman" w:hAnsi="Times New Roman"/>
                <w:bCs/>
                <w:sz w:val="26"/>
                <w:szCs w:val="26"/>
                <w:lang w:eastAsia="bg-BG"/>
              </w:rPr>
              <w:t xml:space="preserve"> нечетлив и</w:t>
            </w:r>
            <w:r>
              <w:rPr>
                <w:rFonts w:ascii="Times New Roman" w:hAnsi="Times New Roman"/>
                <w:bCs/>
                <w:sz w:val="26"/>
                <w:szCs w:val="26"/>
                <w:lang w:eastAsia="bg-BG"/>
              </w:rPr>
              <w:t xml:space="preserve"> неразбираем. Препоръчваме корекция.</w:t>
            </w:r>
          </w:p>
        </w:tc>
      </w:tr>
    </w:tbl>
    <w:p w:rsidR="007F4C8A" w:rsidRDefault="007F4C8A" w:rsidP="00EA1CCC">
      <w:pPr>
        <w:keepNext/>
        <w:keepLines/>
        <w:spacing w:after="0" w:line="240" w:lineRule="auto"/>
        <w:ind w:firstLine="0"/>
        <w:jc w:val="left"/>
        <w:outlineLvl w:val="4"/>
        <w:rPr>
          <w:rFonts w:ascii="Times New Roman" w:hAnsi="Times New Roman"/>
          <w:szCs w:val="24"/>
          <w:lang w:eastAsia="bg-BG"/>
        </w:rPr>
      </w:pPr>
    </w:p>
    <w:p w:rsidR="00EA1CCC" w:rsidRPr="00EA1CCC" w:rsidRDefault="00EA1CCC" w:rsidP="00EA1CCC">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r w:rsidRPr="00EA1CCC">
        <w:rPr>
          <w:rFonts w:ascii="Times New Roman" w:hAnsi="Times New Roman"/>
          <w:b/>
          <w:bCs/>
          <w:szCs w:val="24"/>
        </w:rPr>
        <w:t>Проект на методика</w:t>
      </w:r>
    </w:p>
    <w:p w:rsidR="00EA1CCC" w:rsidRPr="00EA1CCC" w:rsidRDefault="00EA1CCC" w:rsidP="007F4C8A">
      <w:pPr>
        <w:keepNext/>
        <w:keepLines/>
        <w:spacing w:after="0" w:line="240" w:lineRule="auto"/>
        <w:ind w:left="-142"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4"/>
      </w:tblGrid>
      <w:tr w:rsidR="00EA1CCC" w:rsidRPr="00EA1CCC" w:rsidTr="00077EC4">
        <w:trPr>
          <w:trHeight w:val="550"/>
        </w:trPr>
        <w:tc>
          <w:tcPr>
            <w:tcW w:w="9214" w:type="dxa"/>
            <w:tcBorders>
              <w:top w:val="single" w:sz="12" w:space="0" w:color="auto"/>
              <w:bottom w:val="single" w:sz="12" w:space="0" w:color="auto"/>
            </w:tcBorders>
            <w:vAlign w:val="center"/>
          </w:tcPr>
          <w:p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 xml:space="preserve">Констатации и препоръки: </w:t>
            </w:r>
          </w:p>
          <w:p w:rsidR="00511A90" w:rsidRPr="00EA1CCC" w:rsidRDefault="009F07D0" w:rsidP="00077EC4">
            <w:pPr>
              <w:tabs>
                <w:tab w:val="left" w:pos="554"/>
              </w:tabs>
              <w:spacing w:after="0" w:line="240" w:lineRule="auto"/>
              <w:ind w:firstLine="567"/>
              <w:rPr>
                <w:rFonts w:ascii="Times New Roman" w:hAnsi="Times New Roman"/>
                <w:sz w:val="26"/>
                <w:szCs w:val="26"/>
              </w:rPr>
            </w:pPr>
            <w:r>
              <w:rPr>
                <w:rFonts w:ascii="Times New Roman" w:hAnsi="Times New Roman"/>
                <w:sz w:val="26"/>
                <w:szCs w:val="26"/>
              </w:rPr>
              <w:t xml:space="preserve">По показателите </w:t>
            </w:r>
            <w:r w:rsidR="00786953">
              <w:rPr>
                <w:rFonts w:ascii="Times New Roman" w:hAnsi="Times New Roman"/>
                <w:sz w:val="26"/>
                <w:szCs w:val="26"/>
              </w:rPr>
              <w:t>„</w:t>
            </w:r>
            <w:r>
              <w:rPr>
                <w:rFonts w:ascii="Times New Roman" w:hAnsi="Times New Roman"/>
                <w:sz w:val="26"/>
                <w:szCs w:val="26"/>
              </w:rPr>
              <w:t>срок за проектиране</w:t>
            </w:r>
            <w:r w:rsidR="00786953">
              <w:rPr>
                <w:rFonts w:ascii="Times New Roman" w:hAnsi="Times New Roman"/>
                <w:sz w:val="26"/>
                <w:szCs w:val="26"/>
              </w:rPr>
              <w:t xml:space="preserve">“ и </w:t>
            </w:r>
            <w:r w:rsidR="00CE7DE3">
              <w:rPr>
                <w:rFonts w:ascii="Times New Roman" w:hAnsi="Times New Roman"/>
                <w:sz w:val="26"/>
                <w:szCs w:val="26"/>
              </w:rPr>
              <w:t>„срок за изпълнение на строителните работи“</w:t>
            </w:r>
            <w:r w:rsidR="003612FA">
              <w:rPr>
                <w:rFonts w:ascii="Times New Roman" w:hAnsi="Times New Roman"/>
                <w:sz w:val="26"/>
                <w:szCs w:val="26"/>
              </w:rPr>
              <w:t xml:space="preserve"> не е посочена мерната единица за срока </w:t>
            </w:r>
            <w:r w:rsidR="003B102D">
              <w:rPr>
                <w:rFonts w:ascii="Times New Roman" w:hAnsi="Times New Roman"/>
                <w:sz w:val="26"/>
                <w:szCs w:val="26"/>
              </w:rPr>
              <w:t>и минималният възможен срок за изпълнение на съответната дейност.</w:t>
            </w:r>
            <w:r w:rsidR="00BE0CA9">
              <w:rPr>
                <w:rFonts w:ascii="Times New Roman" w:hAnsi="Times New Roman"/>
                <w:sz w:val="26"/>
                <w:szCs w:val="26"/>
              </w:rPr>
              <w:t xml:space="preserve"> По този начин участниците могат да предложат </w:t>
            </w:r>
            <w:r w:rsidR="002E1146">
              <w:rPr>
                <w:rFonts w:ascii="Times New Roman" w:hAnsi="Times New Roman"/>
                <w:sz w:val="26"/>
                <w:szCs w:val="26"/>
              </w:rPr>
              <w:t>несъпоставими</w:t>
            </w:r>
            <w:r w:rsidR="009959F1">
              <w:rPr>
                <w:rFonts w:ascii="Times New Roman" w:hAnsi="Times New Roman"/>
                <w:sz w:val="26"/>
                <w:szCs w:val="26"/>
              </w:rPr>
              <w:t xml:space="preserve">, респ. невъзможни за изпълнение срокове в своите оферти. </w:t>
            </w:r>
            <w:r w:rsidR="001A227E">
              <w:rPr>
                <w:rFonts w:ascii="Times New Roman" w:hAnsi="Times New Roman"/>
                <w:sz w:val="26"/>
                <w:szCs w:val="26"/>
              </w:rPr>
              <w:t>Препоръчваме да се прецени приложимостта на</w:t>
            </w:r>
            <w:r w:rsidR="009870FE">
              <w:rPr>
                <w:rFonts w:ascii="Times New Roman" w:hAnsi="Times New Roman"/>
                <w:sz w:val="26"/>
                <w:szCs w:val="26"/>
              </w:rPr>
              <w:t xml:space="preserve"> </w:t>
            </w:r>
            <w:r w:rsidR="009959F1">
              <w:rPr>
                <w:rFonts w:ascii="Times New Roman" w:hAnsi="Times New Roman"/>
                <w:sz w:val="26"/>
                <w:szCs w:val="26"/>
              </w:rPr>
              <w:t xml:space="preserve">чл. 70, ал. 6, предложение второ ЗОП. </w:t>
            </w:r>
          </w:p>
        </w:tc>
      </w:tr>
    </w:tbl>
    <w:p w:rsidR="00EA1CCC" w:rsidRDefault="00EA1CCC" w:rsidP="00EA1CCC">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rsidR="007F4C8A" w:rsidRDefault="007F4C8A" w:rsidP="00EA1CCC">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EA1CCC">
        <w:rPr>
          <w:rFonts w:ascii="Times New Roman" w:hAnsi="Times New Roman"/>
          <w:b/>
          <w:bCs/>
          <w:szCs w:val="24"/>
        </w:rPr>
        <w:t xml:space="preserve">РАЗДЕЛ </w:t>
      </w:r>
      <w:r w:rsidRPr="00EA1CCC">
        <w:rPr>
          <w:rFonts w:ascii="Times New Roman" w:hAnsi="Times New Roman"/>
          <w:b/>
          <w:bCs/>
          <w:szCs w:val="24"/>
          <w:lang w:val="en-US"/>
        </w:rPr>
        <w:t>IV</w:t>
      </w: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Допълнителна информация</w:t>
      </w:r>
    </w:p>
    <w:p w:rsidR="00EA1CCC" w:rsidRPr="00EA1CCC" w:rsidRDefault="00EA1CCC" w:rsidP="00EA1CCC">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A1CCC" w:rsidRPr="00EA1CCC" w:rsidTr="00077EC4">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rsidR="00EA1CCC" w:rsidRPr="00EA1CCC" w:rsidRDefault="00EA1CCC" w:rsidP="00EA1CCC">
            <w:pPr>
              <w:spacing w:before="60" w:after="60" w:line="240" w:lineRule="auto"/>
              <w:ind w:firstLine="567"/>
              <w:rPr>
                <w:rFonts w:ascii="Times New Roman" w:hAnsi="Times New Roman"/>
                <w:sz w:val="26"/>
                <w:szCs w:val="26"/>
                <w:lang w:eastAsia="bg-BG"/>
              </w:rPr>
            </w:pPr>
            <w:r w:rsidRPr="00EA1CCC">
              <w:rPr>
                <w:rFonts w:ascii="Times New Roman" w:hAnsi="Times New Roman"/>
                <w:sz w:val="26"/>
                <w:szCs w:val="26"/>
                <w:lang w:eastAsia="bg-BG"/>
              </w:rPr>
              <w:t xml:space="preserve">Становището касае съответствието на представените в АОП </w:t>
            </w:r>
            <w:r w:rsidRPr="003F6654">
              <w:rPr>
                <w:rFonts w:ascii="Times New Roman" w:hAnsi="Times New Roman"/>
                <w:sz w:val="26"/>
                <w:szCs w:val="26"/>
                <w:lang w:eastAsia="bg-BG"/>
              </w:rPr>
              <w:t>проекти на</w:t>
            </w:r>
            <w:r w:rsidRPr="00C517A6">
              <w:rPr>
                <w:rFonts w:ascii="Times New Roman" w:hAnsi="Times New Roman"/>
                <w:sz w:val="26"/>
                <w:szCs w:val="26"/>
                <w:lang w:eastAsia="bg-BG"/>
              </w:rPr>
              <w:t xml:space="preserve"> документи с изискванията на ЗОП. Преценката за съответствие с други нормативни актове е извън правомощията на Агенцията </w:t>
            </w:r>
            <w:r w:rsidRPr="003F6654">
              <w:rPr>
                <w:rFonts w:ascii="Times New Roman" w:hAnsi="Times New Roman"/>
                <w:sz w:val="26"/>
                <w:szCs w:val="26"/>
                <w:lang w:eastAsia="bg-BG"/>
              </w:rPr>
              <w:t>и следва да се направи от възложителя.</w:t>
            </w:r>
          </w:p>
        </w:tc>
      </w:tr>
    </w:tbl>
    <w:p w:rsidR="00EA1CCC" w:rsidRDefault="00EA1CCC" w:rsidP="00EA1CCC">
      <w:pPr>
        <w:spacing w:after="0" w:line="240" w:lineRule="auto"/>
        <w:ind w:firstLine="0"/>
        <w:jc w:val="left"/>
        <w:rPr>
          <w:rFonts w:ascii="Times New Roman" w:hAnsi="Times New Roman"/>
          <w:b/>
          <w:sz w:val="26"/>
          <w:szCs w:val="26"/>
          <w:lang w:eastAsia="bg-BG"/>
        </w:rPr>
      </w:pPr>
    </w:p>
    <w:p w:rsidR="00775D74" w:rsidRDefault="00775D74" w:rsidP="00EA1CCC">
      <w:pPr>
        <w:spacing w:after="0" w:line="240" w:lineRule="auto"/>
        <w:ind w:firstLine="0"/>
        <w:jc w:val="left"/>
        <w:rPr>
          <w:rFonts w:ascii="Times New Roman" w:hAnsi="Times New Roman"/>
          <w:b/>
          <w:sz w:val="26"/>
          <w:szCs w:val="26"/>
          <w:lang w:eastAsia="bg-BG"/>
        </w:rPr>
      </w:pPr>
    </w:p>
    <w:p w:rsidR="00775D74" w:rsidRPr="00775D74" w:rsidRDefault="00775D74" w:rsidP="00EA1CCC">
      <w:pPr>
        <w:spacing w:after="0" w:line="240" w:lineRule="auto"/>
        <w:ind w:firstLine="0"/>
        <w:jc w:val="left"/>
        <w:rPr>
          <w:rFonts w:ascii="Times New Roman" w:hAnsi="Times New Roman"/>
          <w:b/>
          <w:sz w:val="26"/>
          <w:szCs w:val="26"/>
          <w:lang w:eastAsia="bg-BG"/>
        </w:rPr>
      </w:pPr>
      <w:bookmarkStart w:id="0" w:name="_GoBack"/>
      <w:bookmarkEnd w:id="0"/>
    </w:p>
    <w:p w:rsidR="007F4C8A" w:rsidRDefault="007F4C8A" w:rsidP="00EA1CCC">
      <w:pPr>
        <w:spacing w:after="0" w:line="240" w:lineRule="auto"/>
        <w:ind w:firstLine="0"/>
        <w:jc w:val="left"/>
        <w:rPr>
          <w:rFonts w:ascii="Times New Roman" w:hAnsi="Times New Roman"/>
          <w:b/>
          <w:sz w:val="26"/>
          <w:szCs w:val="26"/>
          <w:lang w:eastAsia="bg-BG"/>
        </w:rPr>
      </w:pPr>
    </w:p>
    <w:p w:rsidR="00775D74" w:rsidRPr="00775D74" w:rsidRDefault="00775D74" w:rsidP="00775D74">
      <w:pPr>
        <w:rPr>
          <w:rFonts w:ascii="Times New Roman" w:hAnsi="Times New Roman"/>
          <w:szCs w:val="24"/>
          <w:lang w:val="ru-RU" w:eastAsia="bg-BG"/>
        </w:rPr>
      </w:pPr>
      <w:r>
        <w:rPr>
          <w:rFonts w:ascii="Times New Roman" w:hAnsi="Times New Roman"/>
          <w:b/>
          <w:sz w:val="26"/>
          <w:szCs w:val="26"/>
          <w:lang w:eastAsia="bg-BG"/>
        </w:rPr>
        <w:t xml:space="preserve">                                  </w:t>
      </w:r>
      <w:r w:rsidRPr="00775D74">
        <w:rPr>
          <w:rFonts w:ascii="Times New Roman" w:hAnsi="Times New Roman"/>
          <w:b/>
          <w:sz w:val="26"/>
          <w:szCs w:val="26"/>
          <w:lang w:eastAsia="bg-BG"/>
        </w:rPr>
        <w:t>ИЗПЪЛНИТЕЛЕН ДИРЕКТОР: Подпис (не се чете)</w:t>
      </w:r>
    </w:p>
    <w:p w:rsidR="00775D74" w:rsidRPr="00775D74" w:rsidRDefault="00775D74" w:rsidP="00775D74">
      <w:pPr>
        <w:spacing w:after="0" w:line="240" w:lineRule="auto"/>
        <w:ind w:left="6300" w:firstLine="0"/>
        <w:rPr>
          <w:rFonts w:ascii="Times New Roman" w:hAnsi="Times New Roman"/>
          <w:b/>
          <w:sz w:val="26"/>
          <w:szCs w:val="26"/>
          <w:lang w:eastAsia="bg-BG"/>
        </w:rPr>
      </w:pPr>
      <w:r w:rsidRPr="00775D74">
        <w:rPr>
          <w:rFonts w:ascii="Times New Roman" w:hAnsi="Times New Roman"/>
          <w:b/>
          <w:sz w:val="26"/>
          <w:szCs w:val="26"/>
          <w:lang w:eastAsia="bg-BG"/>
        </w:rPr>
        <w:t>МИГЛЕНА ПАВЛОВА</w:t>
      </w:r>
    </w:p>
    <w:p w:rsidR="00775D74" w:rsidRPr="00775D74" w:rsidRDefault="00775D74" w:rsidP="00775D74">
      <w:pPr>
        <w:spacing w:after="0" w:line="240" w:lineRule="auto"/>
        <w:ind w:left="6372" w:firstLine="0"/>
        <w:rPr>
          <w:rFonts w:ascii="Times New Roman" w:hAnsi="Times New Roman"/>
          <w:b/>
          <w:sz w:val="26"/>
          <w:szCs w:val="26"/>
          <w:lang w:eastAsia="bg-BG"/>
        </w:rPr>
      </w:pPr>
    </w:p>
    <w:p w:rsidR="00775D74" w:rsidRPr="00775D74" w:rsidRDefault="00775D74" w:rsidP="00775D74">
      <w:pPr>
        <w:spacing w:after="0" w:line="240" w:lineRule="auto"/>
        <w:ind w:firstLine="0"/>
        <w:jc w:val="left"/>
        <w:rPr>
          <w:rFonts w:ascii="Times New Roman" w:hAnsi="Times New Roman"/>
          <w:b/>
          <w:sz w:val="26"/>
          <w:szCs w:val="26"/>
          <w:lang w:eastAsia="bg-BG"/>
        </w:rPr>
      </w:pPr>
      <w:r w:rsidRPr="00775D74">
        <w:rPr>
          <w:rFonts w:ascii="Times New Roman" w:hAnsi="Times New Roman"/>
          <w:b/>
          <w:sz w:val="26"/>
          <w:szCs w:val="26"/>
          <w:lang w:eastAsia="bg-BG"/>
        </w:rPr>
        <w:t xml:space="preserve">Вярно с оригинала, </w:t>
      </w:r>
    </w:p>
    <w:p w:rsidR="00775D74" w:rsidRPr="00775D74" w:rsidRDefault="00775D74" w:rsidP="00775D74">
      <w:pPr>
        <w:spacing w:after="0" w:line="240" w:lineRule="auto"/>
        <w:ind w:firstLine="0"/>
        <w:jc w:val="left"/>
        <w:rPr>
          <w:rFonts w:ascii="Times New Roman" w:hAnsi="Times New Roman"/>
          <w:b/>
          <w:sz w:val="26"/>
          <w:szCs w:val="26"/>
          <w:lang w:val="ru-RU" w:eastAsia="bg-BG"/>
        </w:rPr>
      </w:pPr>
      <w:r w:rsidRPr="00775D74">
        <w:rPr>
          <w:rFonts w:ascii="Times New Roman" w:hAnsi="Times New Roman"/>
          <w:b/>
          <w:sz w:val="26"/>
          <w:szCs w:val="26"/>
          <w:lang w:eastAsia="bg-BG"/>
        </w:rPr>
        <w:t>подписан на хартия</w:t>
      </w:r>
    </w:p>
    <w:p w:rsidR="00E23ACA" w:rsidRPr="007F4C8A" w:rsidRDefault="00E23ACA" w:rsidP="00775D74">
      <w:pPr>
        <w:spacing w:before="60" w:after="60" w:line="240" w:lineRule="auto"/>
        <w:jc w:val="left"/>
        <w:rPr>
          <w:rFonts w:ascii="Times New Roman" w:hAnsi="Times New Roman"/>
          <w:b/>
          <w:sz w:val="26"/>
          <w:szCs w:val="26"/>
          <w:lang w:eastAsia="bg-BG"/>
        </w:rPr>
      </w:pPr>
    </w:p>
    <w:sectPr w:rsidR="00E23ACA" w:rsidRPr="007F4C8A" w:rsidSect="001600CC">
      <w:footerReference w:type="default" r:id="rId9"/>
      <w:headerReference w:type="first" r:id="rId10"/>
      <w:footerReference w:type="first" r:id="rId11"/>
      <w:pgSz w:w="11906" w:h="16838" w:code="9"/>
      <w:pgMar w:top="1441" w:right="1133" w:bottom="1134" w:left="1425"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24" w:rsidRDefault="00D62824">
      <w:r>
        <w:separator/>
      </w:r>
    </w:p>
  </w:endnote>
  <w:endnote w:type="continuationSeparator" w:id="0">
    <w:p w:rsidR="00D62824" w:rsidRDefault="00D62824">
      <w:r>
        <w:continuationSeparator/>
      </w:r>
    </w:p>
  </w:endnote>
  <w:endnote w:type="continuationNotice" w:id="1">
    <w:p w:rsidR="00D62824" w:rsidRDefault="00D62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D6" w:rsidRDefault="00AA5BD6">
    <w:pPr>
      <w:pStyle w:val="Footer"/>
      <w:jc w:val="right"/>
    </w:pPr>
    <w:r>
      <w:fldChar w:fldCharType="begin"/>
    </w:r>
    <w:r>
      <w:instrText xml:space="preserve"> PAGE   \* MERGEFORMAT </w:instrText>
    </w:r>
    <w:r>
      <w:fldChar w:fldCharType="separate"/>
    </w:r>
    <w:r w:rsidR="00775D74">
      <w:rPr>
        <w:noProof/>
      </w:rPr>
      <w:t>4</w:t>
    </w:r>
    <w:r>
      <w:rPr>
        <w:noProof/>
      </w:rPr>
      <w:fldChar w:fldCharType="end"/>
    </w:r>
  </w:p>
  <w:p w:rsidR="00AA5BD6" w:rsidRDefault="00AA5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D6" w:rsidRDefault="00AA5BD6">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B8B22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rsidR="00AA5BD6" w:rsidRDefault="00AA5BD6">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rsidR="00AA5BD6" w:rsidRPr="00E7009E" w:rsidRDefault="00AA5BD6">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rsidR="00AA5BD6" w:rsidRDefault="00AA5BD6">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24" w:rsidRDefault="00D62824">
      <w:r>
        <w:separator/>
      </w:r>
    </w:p>
  </w:footnote>
  <w:footnote w:type="continuationSeparator" w:id="0">
    <w:p w:rsidR="00D62824" w:rsidRDefault="00D62824">
      <w:r>
        <w:continuationSeparator/>
      </w:r>
    </w:p>
  </w:footnote>
  <w:footnote w:type="continuationNotice" w:id="1">
    <w:p w:rsidR="00D62824" w:rsidRDefault="00D628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D6" w:rsidRDefault="00AA5BD6">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D6E02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AA732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BD6" w:rsidRPr="008121DC" w:rsidRDefault="00AA5BD6"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AA5BD6" w:rsidRPr="008121DC" w:rsidRDefault="00AA5BD6" w:rsidP="009B5F78">
                          <w:pPr>
                            <w:pStyle w:val="Heading1"/>
                            <w:tabs>
                              <w:tab w:val="center" w:pos="3705"/>
                            </w:tabs>
                            <w:rPr>
                              <w:rFonts w:ascii="Times New Roman" w:hAnsi="Times New Roman"/>
                              <w:sz w:val="28"/>
                              <w:lang w:val="ru-RU"/>
                            </w:rPr>
                          </w:pPr>
                        </w:p>
                        <w:p w:rsidR="00AA5BD6" w:rsidRPr="008121DC" w:rsidRDefault="00AA5BD6"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rsidR="00AA5BD6" w:rsidRPr="008121DC" w:rsidRDefault="00AA5BD6"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AA5BD6" w:rsidRPr="008121DC" w:rsidRDefault="00AA5BD6" w:rsidP="009B5F78">
                    <w:pPr>
                      <w:pStyle w:val="Heading1"/>
                      <w:tabs>
                        <w:tab w:val="center" w:pos="3705"/>
                      </w:tabs>
                      <w:rPr>
                        <w:rFonts w:ascii="Times New Roman" w:hAnsi="Times New Roman"/>
                        <w:sz w:val="28"/>
                        <w:lang w:val="ru-RU"/>
                      </w:rPr>
                    </w:pPr>
                  </w:p>
                  <w:p w:rsidR="00AA5BD6" w:rsidRPr="008121DC" w:rsidRDefault="00AA5BD6"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extent cx="962025" cy="6203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20395"/>
                  </a:xfrm>
                  <a:prstGeom prst="rect">
                    <a:avLst/>
                  </a:prstGeom>
                  <a:noFill/>
                  <a:ln>
                    <a:noFill/>
                  </a:ln>
                </pic:spPr>
              </pic:pic>
            </a:graphicData>
          </a:graphic>
        </wp:inline>
      </w:drawing>
    </w:r>
  </w:p>
  <w:p w:rsidR="00AA5BD6" w:rsidRDefault="00AA5BD6">
    <w:pPr>
      <w:autoSpaceDE w:val="0"/>
      <w:autoSpaceDN w:val="0"/>
      <w:adjustRightInd w:val="0"/>
      <w:spacing w:before="240" w:after="0" w:line="240" w:lineRule="auto"/>
      <w:ind w:left="-741" w:firstLine="0"/>
      <w:jc w:val="left"/>
      <w:rPr>
        <w:rFonts w:ascii="Times New Roman CYR" w:hAnsi="Times New Roman CYR"/>
        <w:color w:val="000000"/>
        <w:sz w:val="22"/>
      </w:rPr>
    </w:pPr>
  </w:p>
  <w:p w:rsidR="00AA5BD6" w:rsidRPr="009B5F78" w:rsidRDefault="00AA5BD6" w:rsidP="007F4C8A">
    <w:pPr>
      <w:autoSpaceDE w:val="0"/>
      <w:autoSpaceDN w:val="0"/>
      <w:adjustRightInd w:val="0"/>
      <w:spacing w:after="0" w:line="240" w:lineRule="auto"/>
      <w:ind w:left="-743" w:firstLine="227"/>
      <w:jc w:val="left"/>
      <w:rPr>
        <w:rFonts w:ascii="Times New Roman CYR" w:hAnsi="Times New Roman CYR"/>
        <w:color w:val="000000"/>
        <w:sz w:val="22"/>
        <w:lang w:val="en-US"/>
      </w:rPr>
    </w:pPr>
    <w:r w:rsidRPr="0041583C">
      <w:rPr>
        <w:rFonts w:ascii="Times New Roman CYR" w:hAnsi="Times New Roman CYR"/>
        <w:color w:val="000000"/>
        <w:sz w:val="22"/>
      </w:rPr>
      <w:t>И</w:t>
    </w:r>
    <w:proofErr w:type="spellStart"/>
    <w:r w:rsidRPr="0041583C">
      <w:rPr>
        <w:rFonts w:ascii="Times New Roman CYR" w:hAnsi="Times New Roman CYR"/>
        <w:color w:val="000000"/>
        <w:sz w:val="22"/>
        <w:lang w:val="en-US"/>
      </w:rPr>
      <w:t>зх</w:t>
    </w:r>
    <w:proofErr w:type="spellEnd"/>
    <w:r w:rsidRPr="009B5F78">
      <w:rPr>
        <w:rFonts w:ascii="Times New Roman CYR" w:hAnsi="Times New Roman CYR"/>
        <w:color w:val="000000"/>
        <w:sz w:val="22"/>
        <w:lang w:val="en-US"/>
      </w:rPr>
      <w:t xml:space="preserve">. </w:t>
    </w:r>
    <w:proofErr w:type="spellStart"/>
    <w:proofErr w:type="gramStart"/>
    <w:r w:rsidRPr="009B5F78">
      <w:rPr>
        <w:rFonts w:ascii="Times New Roman CYR" w:hAnsi="Times New Roman CYR"/>
        <w:color w:val="000000"/>
        <w:sz w:val="22"/>
        <w:lang w:val="en-US"/>
      </w:rPr>
      <w:t>номер</w:t>
    </w:r>
    <w:proofErr w:type="spellEnd"/>
    <w:proofErr w:type="gramEnd"/>
    <w:r w:rsidRPr="009B5F78">
      <w:rPr>
        <w:rFonts w:ascii="Times New Roman CYR" w:hAnsi="Times New Roman CYR"/>
        <w:color w:val="000000"/>
        <w:sz w:val="22"/>
        <w:lang w:val="en-US"/>
      </w:rPr>
      <w:t>:</w:t>
    </w:r>
    <w:r>
      <w:rPr>
        <w:rFonts w:ascii="Times New Roman CYR" w:hAnsi="Times New Roman CYR"/>
        <w:color w:val="000000"/>
        <w:sz w:val="22"/>
      </w:rPr>
      <w:t xml:space="preserve"> КСИ-38</w:t>
    </w:r>
  </w:p>
  <w:p w:rsidR="007F4C8A" w:rsidRDefault="007F4C8A" w:rsidP="007F4C8A">
    <w:pPr>
      <w:autoSpaceDE w:val="0"/>
      <w:autoSpaceDN w:val="0"/>
      <w:adjustRightInd w:val="0"/>
      <w:spacing w:after="0" w:line="240" w:lineRule="auto"/>
      <w:ind w:left="-743" w:firstLine="227"/>
      <w:jc w:val="left"/>
      <w:rPr>
        <w:rFonts w:ascii="Times New Roman CYR" w:hAnsi="Times New Roman CYR"/>
        <w:color w:val="000000"/>
        <w:sz w:val="22"/>
      </w:rPr>
    </w:pPr>
  </w:p>
  <w:p w:rsidR="00AA5BD6" w:rsidRPr="00775D74" w:rsidRDefault="00AA5BD6" w:rsidP="007F4C8A">
    <w:pPr>
      <w:autoSpaceDE w:val="0"/>
      <w:autoSpaceDN w:val="0"/>
      <w:adjustRightInd w:val="0"/>
      <w:spacing w:after="0" w:line="240" w:lineRule="auto"/>
      <w:ind w:left="-743" w:firstLine="227"/>
      <w:jc w:val="left"/>
    </w:pPr>
    <w:proofErr w:type="spellStart"/>
    <w:r w:rsidRPr="009B5F78">
      <w:rPr>
        <w:rFonts w:ascii="Times New Roman CYR" w:hAnsi="Times New Roman CYR"/>
        <w:color w:val="000000"/>
        <w:sz w:val="22"/>
        <w:lang w:val="en-US"/>
      </w:rPr>
      <w:t>Дата</w:t>
    </w:r>
    <w:proofErr w:type="spellEnd"/>
    <w:r w:rsidRPr="009B5F78">
      <w:rPr>
        <w:rFonts w:ascii="Times New Roman CYR" w:hAnsi="Times New Roman CYR"/>
        <w:color w:val="000000"/>
        <w:sz w:val="22"/>
        <w:lang w:val="en-US"/>
      </w:rPr>
      <w:t xml:space="preserve">: </w:t>
    </w:r>
    <w:r w:rsidR="00775D74">
      <w:rPr>
        <w:rFonts w:ascii="Times New Roman CYR" w:hAnsi="Times New Roman CYR"/>
        <w:color w:val="000000"/>
        <w:sz w:val="22"/>
        <w:lang w:val="en-US"/>
      </w:rPr>
      <w:t xml:space="preserve">10.03.2017 </w:t>
    </w:r>
    <w:r w:rsidR="00775D74">
      <w:rPr>
        <w:rFonts w:ascii="Times New Roman CYR" w:hAnsi="Times New Roman CYR"/>
        <w:color w:val="000000"/>
        <w:sz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5">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7">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31">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11"/>
  </w:num>
  <w:num w:numId="3">
    <w:abstractNumId w:val="35"/>
  </w:num>
  <w:num w:numId="4">
    <w:abstractNumId w:val="12"/>
  </w:num>
  <w:num w:numId="5">
    <w:abstractNumId w:val="34"/>
  </w:num>
  <w:num w:numId="6">
    <w:abstractNumId w:val="32"/>
  </w:num>
  <w:num w:numId="7">
    <w:abstractNumId w:val="31"/>
  </w:num>
  <w:num w:numId="8">
    <w:abstractNumId w:val="13"/>
  </w:num>
  <w:num w:numId="9">
    <w:abstractNumId w:val="17"/>
  </w:num>
  <w:num w:numId="10">
    <w:abstractNumId w:val="26"/>
  </w:num>
  <w:num w:numId="11">
    <w:abstractNumId w:val="30"/>
  </w:num>
  <w:num w:numId="12">
    <w:abstractNumId w:val="25"/>
  </w:num>
  <w:num w:numId="13">
    <w:abstractNumId w:val="24"/>
  </w:num>
  <w:num w:numId="14">
    <w:abstractNumId w:val="14"/>
  </w:num>
  <w:num w:numId="15">
    <w:abstractNumId w:val="2"/>
  </w:num>
  <w:num w:numId="16">
    <w:abstractNumId w:val="4"/>
  </w:num>
  <w:num w:numId="17">
    <w:abstractNumId w:val="8"/>
  </w:num>
  <w:num w:numId="18">
    <w:abstractNumId w:val="18"/>
  </w:num>
  <w:num w:numId="19">
    <w:abstractNumId w:val="1"/>
  </w:num>
  <w:num w:numId="20">
    <w:abstractNumId w:val="19"/>
  </w:num>
  <w:num w:numId="21">
    <w:abstractNumId w:val="0"/>
  </w:num>
  <w:num w:numId="22">
    <w:abstractNumId w:val="23"/>
  </w:num>
  <w:num w:numId="23">
    <w:abstractNumId w:val="27"/>
  </w:num>
  <w:num w:numId="24">
    <w:abstractNumId w:val="33"/>
  </w:num>
  <w:num w:numId="25">
    <w:abstractNumId w:val="9"/>
  </w:num>
  <w:num w:numId="26">
    <w:abstractNumId w:val="5"/>
  </w:num>
  <w:num w:numId="27">
    <w:abstractNumId w:val="10"/>
  </w:num>
  <w:num w:numId="28">
    <w:abstractNumId w:val="16"/>
  </w:num>
  <w:num w:numId="29">
    <w:abstractNumId w:val="20"/>
  </w:num>
  <w:num w:numId="30">
    <w:abstractNumId w:val="21"/>
  </w:num>
  <w:num w:numId="31">
    <w:abstractNumId w:val="15"/>
  </w:num>
  <w:num w:numId="32">
    <w:abstractNumId w:val="22"/>
  </w:num>
  <w:num w:numId="33">
    <w:abstractNumId w:val="28"/>
  </w:num>
  <w:num w:numId="34">
    <w:abstractNumId w:val="6"/>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1248"/>
    <w:rsid w:val="000069D8"/>
    <w:rsid w:val="0001763B"/>
    <w:rsid w:val="00020D85"/>
    <w:rsid w:val="0002194B"/>
    <w:rsid w:val="00030685"/>
    <w:rsid w:val="00034332"/>
    <w:rsid w:val="00054917"/>
    <w:rsid w:val="00077EC4"/>
    <w:rsid w:val="00080D36"/>
    <w:rsid w:val="00093EA9"/>
    <w:rsid w:val="000950FC"/>
    <w:rsid w:val="00096EB2"/>
    <w:rsid w:val="000A0B30"/>
    <w:rsid w:val="000A2049"/>
    <w:rsid w:val="000A309F"/>
    <w:rsid w:val="000B02BD"/>
    <w:rsid w:val="000B5BA9"/>
    <w:rsid w:val="000B64C1"/>
    <w:rsid w:val="000B7AA0"/>
    <w:rsid w:val="000E115F"/>
    <w:rsid w:val="000E1D2D"/>
    <w:rsid w:val="000E4E53"/>
    <w:rsid w:val="000E5668"/>
    <w:rsid w:val="000E66FE"/>
    <w:rsid w:val="001020E9"/>
    <w:rsid w:val="00103D54"/>
    <w:rsid w:val="001242BE"/>
    <w:rsid w:val="00125E14"/>
    <w:rsid w:val="001320E7"/>
    <w:rsid w:val="00137318"/>
    <w:rsid w:val="00137F1B"/>
    <w:rsid w:val="0014423C"/>
    <w:rsid w:val="001564C6"/>
    <w:rsid w:val="001600CC"/>
    <w:rsid w:val="00163F6F"/>
    <w:rsid w:val="00173CF3"/>
    <w:rsid w:val="00177DD7"/>
    <w:rsid w:val="00180E45"/>
    <w:rsid w:val="001861A4"/>
    <w:rsid w:val="00186AE6"/>
    <w:rsid w:val="001950BA"/>
    <w:rsid w:val="001A1190"/>
    <w:rsid w:val="001A227E"/>
    <w:rsid w:val="001A4F8E"/>
    <w:rsid w:val="001B11A2"/>
    <w:rsid w:val="001B7457"/>
    <w:rsid w:val="001C6553"/>
    <w:rsid w:val="001C6B72"/>
    <w:rsid w:val="001D1B56"/>
    <w:rsid w:val="001D3110"/>
    <w:rsid w:val="001F2555"/>
    <w:rsid w:val="001F4EA1"/>
    <w:rsid w:val="002105B2"/>
    <w:rsid w:val="00214C63"/>
    <w:rsid w:val="0022643E"/>
    <w:rsid w:val="00243EA0"/>
    <w:rsid w:val="002534A5"/>
    <w:rsid w:val="002570CB"/>
    <w:rsid w:val="00257695"/>
    <w:rsid w:val="00257B47"/>
    <w:rsid w:val="0026446C"/>
    <w:rsid w:val="00265C86"/>
    <w:rsid w:val="0026692C"/>
    <w:rsid w:val="00267CA5"/>
    <w:rsid w:val="00293585"/>
    <w:rsid w:val="00296DA8"/>
    <w:rsid w:val="00297D66"/>
    <w:rsid w:val="002A4E10"/>
    <w:rsid w:val="002A5396"/>
    <w:rsid w:val="002A6878"/>
    <w:rsid w:val="002B599D"/>
    <w:rsid w:val="002C10E1"/>
    <w:rsid w:val="002C2C8B"/>
    <w:rsid w:val="002C77D7"/>
    <w:rsid w:val="002D7497"/>
    <w:rsid w:val="002E0E9B"/>
    <w:rsid w:val="002E1146"/>
    <w:rsid w:val="002E2ED4"/>
    <w:rsid w:val="002E68BA"/>
    <w:rsid w:val="002E6F11"/>
    <w:rsid w:val="002F076F"/>
    <w:rsid w:val="002F449D"/>
    <w:rsid w:val="002F6D9D"/>
    <w:rsid w:val="003024E8"/>
    <w:rsid w:val="00313832"/>
    <w:rsid w:val="003153EA"/>
    <w:rsid w:val="00320606"/>
    <w:rsid w:val="00324B83"/>
    <w:rsid w:val="00333AC9"/>
    <w:rsid w:val="0034003D"/>
    <w:rsid w:val="00353ECD"/>
    <w:rsid w:val="00354604"/>
    <w:rsid w:val="00355EF1"/>
    <w:rsid w:val="003612FA"/>
    <w:rsid w:val="00367DF4"/>
    <w:rsid w:val="00374B03"/>
    <w:rsid w:val="00392800"/>
    <w:rsid w:val="003942B7"/>
    <w:rsid w:val="00396C99"/>
    <w:rsid w:val="003A38AA"/>
    <w:rsid w:val="003A4D4F"/>
    <w:rsid w:val="003A4EA1"/>
    <w:rsid w:val="003B0BBF"/>
    <w:rsid w:val="003B102D"/>
    <w:rsid w:val="003B28B3"/>
    <w:rsid w:val="003D2052"/>
    <w:rsid w:val="003D5472"/>
    <w:rsid w:val="003E2346"/>
    <w:rsid w:val="003F5309"/>
    <w:rsid w:val="003F6654"/>
    <w:rsid w:val="004122D1"/>
    <w:rsid w:val="0041583C"/>
    <w:rsid w:val="00416709"/>
    <w:rsid w:val="004463C9"/>
    <w:rsid w:val="004641AD"/>
    <w:rsid w:val="0046774A"/>
    <w:rsid w:val="00485DC6"/>
    <w:rsid w:val="004A65BC"/>
    <w:rsid w:val="004B1846"/>
    <w:rsid w:val="004D44F6"/>
    <w:rsid w:val="004D4E10"/>
    <w:rsid w:val="004F5118"/>
    <w:rsid w:val="005064AA"/>
    <w:rsid w:val="0051122A"/>
    <w:rsid w:val="00511A90"/>
    <w:rsid w:val="00530377"/>
    <w:rsid w:val="00535E8D"/>
    <w:rsid w:val="00542479"/>
    <w:rsid w:val="00545672"/>
    <w:rsid w:val="0056351C"/>
    <w:rsid w:val="005655D8"/>
    <w:rsid w:val="00565AFA"/>
    <w:rsid w:val="005728A5"/>
    <w:rsid w:val="005802EC"/>
    <w:rsid w:val="00582C6D"/>
    <w:rsid w:val="00583997"/>
    <w:rsid w:val="0058741D"/>
    <w:rsid w:val="00593565"/>
    <w:rsid w:val="005B3C9A"/>
    <w:rsid w:val="005C37E1"/>
    <w:rsid w:val="005C5F53"/>
    <w:rsid w:val="005D3F97"/>
    <w:rsid w:val="005D49C6"/>
    <w:rsid w:val="005E405C"/>
    <w:rsid w:val="005F4596"/>
    <w:rsid w:val="005F68ED"/>
    <w:rsid w:val="00614B63"/>
    <w:rsid w:val="00620C7C"/>
    <w:rsid w:val="00622FDC"/>
    <w:rsid w:val="00623BAF"/>
    <w:rsid w:val="00630AC4"/>
    <w:rsid w:val="0063260E"/>
    <w:rsid w:val="00634753"/>
    <w:rsid w:val="00654A2E"/>
    <w:rsid w:val="006674AD"/>
    <w:rsid w:val="006739C9"/>
    <w:rsid w:val="00675007"/>
    <w:rsid w:val="006752CB"/>
    <w:rsid w:val="0068624B"/>
    <w:rsid w:val="006A5BC4"/>
    <w:rsid w:val="006B4830"/>
    <w:rsid w:val="006C0872"/>
    <w:rsid w:val="006C54AF"/>
    <w:rsid w:val="006D08A2"/>
    <w:rsid w:val="006E374E"/>
    <w:rsid w:val="006F49FD"/>
    <w:rsid w:val="006F64F8"/>
    <w:rsid w:val="007001A5"/>
    <w:rsid w:val="007018B4"/>
    <w:rsid w:val="007029DD"/>
    <w:rsid w:val="0070314D"/>
    <w:rsid w:val="007122A9"/>
    <w:rsid w:val="007245DE"/>
    <w:rsid w:val="00724E8B"/>
    <w:rsid w:val="00730B38"/>
    <w:rsid w:val="00737908"/>
    <w:rsid w:val="00740C82"/>
    <w:rsid w:val="00742286"/>
    <w:rsid w:val="00761807"/>
    <w:rsid w:val="00761BE9"/>
    <w:rsid w:val="00772DB6"/>
    <w:rsid w:val="007731B8"/>
    <w:rsid w:val="00775D74"/>
    <w:rsid w:val="0078052B"/>
    <w:rsid w:val="00786953"/>
    <w:rsid w:val="0078778B"/>
    <w:rsid w:val="00794149"/>
    <w:rsid w:val="007A0F50"/>
    <w:rsid w:val="007A7616"/>
    <w:rsid w:val="007B0883"/>
    <w:rsid w:val="007B6013"/>
    <w:rsid w:val="007C6EE8"/>
    <w:rsid w:val="007D1072"/>
    <w:rsid w:val="007E4CEE"/>
    <w:rsid w:val="007E70DA"/>
    <w:rsid w:val="007F34FC"/>
    <w:rsid w:val="007F4C8A"/>
    <w:rsid w:val="007F7F40"/>
    <w:rsid w:val="0080310E"/>
    <w:rsid w:val="00805771"/>
    <w:rsid w:val="008077D0"/>
    <w:rsid w:val="008121DC"/>
    <w:rsid w:val="008153B8"/>
    <w:rsid w:val="0081709C"/>
    <w:rsid w:val="00824E6D"/>
    <w:rsid w:val="00825C04"/>
    <w:rsid w:val="008319CD"/>
    <w:rsid w:val="008329F6"/>
    <w:rsid w:val="0083624A"/>
    <w:rsid w:val="00853E2B"/>
    <w:rsid w:val="0086386B"/>
    <w:rsid w:val="00865BCA"/>
    <w:rsid w:val="008672EB"/>
    <w:rsid w:val="00872E40"/>
    <w:rsid w:val="00874BAF"/>
    <w:rsid w:val="00881FFD"/>
    <w:rsid w:val="00893D77"/>
    <w:rsid w:val="00893DB5"/>
    <w:rsid w:val="00897353"/>
    <w:rsid w:val="00897497"/>
    <w:rsid w:val="008A1FBD"/>
    <w:rsid w:val="008A3669"/>
    <w:rsid w:val="008A3C0D"/>
    <w:rsid w:val="008B5946"/>
    <w:rsid w:val="008C5ADC"/>
    <w:rsid w:val="008D09C0"/>
    <w:rsid w:val="00904687"/>
    <w:rsid w:val="009122F3"/>
    <w:rsid w:val="00916356"/>
    <w:rsid w:val="00916673"/>
    <w:rsid w:val="00931BDC"/>
    <w:rsid w:val="009347CC"/>
    <w:rsid w:val="00940476"/>
    <w:rsid w:val="00950931"/>
    <w:rsid w:val="00954B4E"/>
    <w:rsid w:val="00955888"/>
    <w:rsid w:val="00970E49"/>
    <w:rsid w:val="009732EE"/>
    <w:rsid w:val="00975D18"/>
    <w:rsid w:val="00984F29"/>
    <w:rsid w:val="009870FE"/>
    <w:rsid w:val="009959F1"/>
    <w:rsid w:val="0099644D"/>
    <w:rsid w:val="009966A4"/>
    <w:rsid w:val="009A0706"/>
    <w:rsid w:val="009B33A1"/>
    <w:rsid w:val="009B5F78"/>
    <w:rsid w:val="009C1FE5"/>
    <w:rsid w:val="009C2176"/>
    <w:rsid w:val="009C7BC5"/>
    <w:rsid w:val="009D0C47"/>
    <w:rsid w:val="009D0F3F"/>
    <w:rsid w:val="009E574E"/>
    <w:rsid w:val="009F07D0"/>
    <w:rsid w:val="00A00BD8"/>
    <w:rsid w:val="00A060A3"/>
    <w:rsid w:val="00A078BE"/>
    <w:rsid w:val="00A17D28"/>
    <w:rsid w:val="00A24F2B"/>
    <w:rsid w:val="00A25076"/>
    <w:rsid w:val="00A27871"/>
    <w:rsid w:val="00A35A99"/>
    <w:rsid w:val="00A36013"/>
    <w:rsid w:val="00A43DD0"/>
    <w:rsid w:val="00A526C0"/>
    <w:rsid w:val="00A62282"/>
    <w:rsid w:val="00A81D57"/>
    <w:rsid w:val="00A91AAE"/>
    <w:rsid w:val="00AA220C"/>
    <w:rsid w:val="00AA5BD6"/>
    <w:rsid w:val="00AB683C"/>
    <w:rsid w:val="00AC0A44"/>
    <w:rsid w:val="00AC1EB0"/>
    <w:rsid w:val="00AC3AEC"/>
    <w:rsid w:val="00AC4FCE"/>
    <w:rsid w:val="00AC7C8C"/>
    <w:rsid w:val="00AF61B6"/>
    <w:rsid w:val="00B0112C"/>
    <w:rsid w:val="00B11F8B"/>
    <w:rsid w:val="00B21FB2"/>
    <w:rsid w:val="00B23660"/>
    <w:rsid w:val="00B247C8"/>
    <w:rsid w:val="00B30513"/>
    <w:rsid w:val="00B36E79"/>
    <w:rsid w:val="00B54C34"/>
    <w:rsid w:val="00B627C3"/>
    <w:rsid w:val="00B715A6"/>
    <w:rsid w:val="00B72B20"/>
    <w:rsid w:val="00B753EB"/>
    <w:rsid w:val="00B83B78"/>
    <w:rsid w:val="00BA376B"/>
    <w:rsid w:val="00BB50E7"/>
    <w:rsid w:val="00BB6770"/>
    <w:rsid w:val="00BD5D15"/>
    <w:rsid w:val="00BD7490"/>
    <w:rsid w:val="00BE0CA9"/>
    <w:rsid w:val="00BF1FDD"/>
    <w:rsid w:val="00C06FF6"/>
    <w:rsid w:val="00C12C8E"/>
    <w:rsid w:val="00C247EE"/>
    <w:rsid w:val="00C25071"/>
    <w:rsid w:val="00C3311D"/>
    <w:rsid w:val="00C35CE0"/>
    <w:rsid w:val="00C517A6"/>
    <w:rsid w:val="00C60970"/>
    <w:rsid w:val="00C61473"/>
    <w:rsid w:val="00C64612"/>
    <w:rsid w:val="00C656B0"/>
    <w:rsid w:val="00C66C4D"/>
    <w:rsid w:val="00C73BE0"/>
    <w:rsid w:val="00C83BB7"/>
    <w:rsid w:val="00C87340"/>
    <w:rsid w:val="00C939A9"/>
    <w:rsid w:val="00CD4557"/>
    <w:rsid w:val="00CE0B14"/>
    <w:rsid w:val="00CE6330"/>
    <w:rsid w:val="00CE7DE3"/>
    <w:rsid w:val="00CF4A52"/>
    <w:rsid w:val="00CF6937"/>
    <w:rsid w:val="00D06901"/>
    <w:rsid w:val="00D07809"/>
    <w:rsid w:val="00D26E0A"/>
    <w:rsid w:val="00D30A37"/>
    <w:rsid w:val="00D30A85"/>
    <w:rsid w:val="00D31450"/>
    <w:rsid w:val="00D35847"/>
    <w:rsid w:val="00D3735A"/>
    <w:rsid w:val="00D37480"/>
    <w:rsid w:val="00D4170F"/>
    <w:rsid w:val="00D51481"/>
    <w:rsid w:val="00D523FB"/>
    <w:rsid w:val="00D6158B"/>
    <w:rsid w:val="00D62824"/>
    <w:rsid w:val="00D70192"/>
    <w:rsid w:val="00D72D88"/>
    <w:rsid w:val="00D746F5"/>
    <w:rsid w:val="00D83DDD"/>
    <w:rsid w:val="00D9433F"/>
    <w:rsid w:val="00DA0571"/>
    <w:rsid w:val="00DB1972"/>
    <w:rsid w:val="00DB60B3"/>
    <w:rsid w:val="00DC468C"/>
    <w:rsid w:val="00DD1081"/>
    <w:rsid w:val="00DE03E6"/>
    <w:rsid w:val="00DE163E"/>
    <w:rsid w:val="00DE4008"/>
    <w:rsid w:val="00DE5DAA"/>
    <w:rsid w:val="00DE74FF"/>
    <w:rsid w:val="00DF3254"/>
    <w:rsid w:val="00DF742F"/>
    <w:rsid w:val="00E13587"/>
    <w:rsid w:val="00E23ACA"/>
    <w:rsid w:val="00E526F6"/>
    <w:rsid w:val="00E529F4"/>
    <w:rsid w:val="00E53726"/>
    <w:rsid w:val="00E540AA"/>
    <w:rsid w:val="00E554EA"/>
    <w:rsid w:val="00E56600"/>
    <w:rsid w:val="00E5739F"/>
    <w:rsid w:val="00E576E8"/>
    <w:rsid w:val="00E62352"/>
    <w:rsid w:val="00E6320B"/>
    <w:rsid w:val="00E640FE"/>
    <w:rsid w:val="00E6611A"/>
    <w:rsid w:val="00E7009E"/>
    <w:rsid w:val="00E7542F"/>
    <w:rsid w:val="00E7613E"/>
    <w:rsid w:val="00E76876"/>
    <w:rsid w:val="00E8320C"/>
    <w:rsid w:val="00E97A66"/>
    <w:rsid w:val="00EA1CCC"/>
    <w:rsid w:val="00EB495E"/>
    <w:rsid w:val="00EB7C71"/>
    <w:rsid w:val="00EC742E"/>
    <w:rsid w:val="00ED1A43"/>
    <w:rsid w:val="00ED5CF1"/>
    <w:rsid w:val="00EE1826"/>
    <w:rsid w:val="00EF68A3"/>
    <w:rsid w:val="00F00C92"/>
    <w:rsid w:val="00F209B1"/>
    <w:rsid w:val="00F33B8C"/>
    <w:rsid w:val="00F34A88"/>
    <w:rsid w:val="00F42A42"/>
    <w:rsid w:val="00F46BDE"/>
    <w:rsid w:val="00F50C13"/>
    <w:rsid w:val="00F51583"/>
    <w:rsid w:val="00F52705"/>
    <w:rsid w:val="00F60EE1"/>
    <w:rsid w:val="00F63CE9"/>
    <w:rsid w:val="00F72F51"/>
    <w:rsid w:val="00F77D6D"/>
    <w:rsid w:val="00F80865"/>
    <w:rsid w:val="00FA1A79"/>
    <w:rsid w:val="00FA67DB"/>
    <w:rsid w:val="00FA7AE3"/>
    <w:rsid w:val="00FB2949"/>
    <w:rsid w:val="00FD074D"/>
    <w:rsid w:val="00FE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uto"/>
      <w:ind w:firstLine="720"/>
      <w:jc w:val="both"/>
    </w:pPr>
    <w:rPr>
      <w:rFonts w:ascii="Arial" w:hAnsi="Arial"/>
      <w:sz w:val="24"/>
      <w:lang w:val="bg-BG"/>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uto"/>
      <w:ind w:firstLine="720"/>
      <w:jc w:val="both"/>
    </w:pPr>
    <w:rPr>
      <w:rFonts w:ascii="Arial" w:hAnsi="Arial"/>
      <w:sz w:val="24"/>
      <w:lang w:val="bg-BG"/>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3723-A5C9-458A-BD01-FD0ED68D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Iva Yotova</cp:lastModifiedBy>
  <cp:revision>3</cp:revision>
  <cp:lastPrinted>2016-03-12T10:11:00Z</cp:lastPrinted>
  <dcterms:created xsi:type="dcterms:W3CDTF">2017-03-10T13:59:00Z</dcterms:created>
  <dcterms:modified xsi:type="dcterms:W3CDTF">2017-03-10T14:01:00Z</dcterms:modified>
</cp:coreProperties>
</file>